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E" w:rsidRPr="00CF116F" w:rsidRDefault="00A522DE" w:rsidP="00A522DE">
      <w:pPr>
        <w:rPr>
          <w:rFonts w:ascii="Calibri" w:hAnsi="Calibri"/>
          <w:b/>
          <w:sz w:val="28"/>
          <w:szCs w:val="28"/>
          <w:u w:val="single"/>
        </w:rPr>
      </w:pPr>
      <w:r w:rsidRPr="00CF116F">
        <w:rPr>
          <w:rFonts w:ascii="Calibri" w:hAnsi="Calibri"/>
          <w:b/>
          <w:sz w:val="32"/>
          <w:szCs w:val="32"/>
          <w:u w:val="single"/>
        </w:rPr>
        <w:t>SYL</w:t>
      </w:r>
      <w:r>
        <w:rPr>
          <w:rFonts w:ascii="Calibri" w:hAnsi="Calibri"/>
          <w:b/>
          <w:sz w:val="32"/>
          <w:szCs w:val="32"/>
          <w:u w:val="single"/>
        </w:rPr>
        <w:t>L</w:t>
      </w:r>
      <w:r w:rsidRPr="00CF116F">
        <w:rPr>
          <w:rFonts w:ascii="Calibri" w:hAnsi="Calibri"/>
          <w:b/>
          <w:sz w:val="32"/>
          <w:szCs w:val="32"/>
          <w:u w:val="single"/>
        </w:rPr>
        <w:t>ABUS</w:t>
      </w:r>
      <w:r w:rsidR="008052A6">
        <w:rPr>
          <w:rFonts w:ascii="Calibri" w:hAnsi="Calibri"/>
          <w:b/>
          <w:sz w:val="32"/>
          <w:szCs w:val="32"/>
          <w:u w:val="single"/>
        </w:rPr>
        <w:t xml:space="preserve">: </w:t>
      </w:r>
      <w:r w:rsidR="00C42941">
        <w:rPr>
          <w:rFonts w:ascii="Calibri" w:hAnsi="Calibri"/>
          <w:b/>
          <w:sz w:val="32"/>
          <w:szCs w:val="32"/>
          <w:u w:val="single"/>
        </w:rPr>
        <w:t>Principles of Financial Management</w:t>
      </w:r>
    </w:p>
    <w:p w:rsidR="00A522DE" w:rsidRPr="00CF116F" w:rsidRDefault="00A522DE" w:rsidP="00A522DE">
      <w:pPr>
        <w:rPr>
          <w:rFonts w:ascii="Calibri" w:hAnsi="Calibri"/>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767"/>
        <w:gridCol w:w="1367"/>
        <w:gridCol w:w="1724"/>
        <w:gridCol w:w="1977"/>
      </w:tblGrid>
      <w:tr w:rsidR="00235AC8" w:rsidRPr="00146651" w:rsidTr="003F368C">
        <w:tc>
          <w:tcPr>
            <w:tcW w:w="8630" w:type="dxa"/>
            <w:gridSpan w:val="5"/>
            <w:shd w:val="clear" w:color="auto" w:fill="B8CCE4"/>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Basic</w:t>
            </w:r>
            <w:proofErr w:type="spellEnd"/>
            <w:r w:rsidRPr="00146651">
              <w:rPr>
                <w:rFonts w:ascii="Calibri" w:hAnsi="Calibri" w:cs="Calibri"/>
                <w:b/>
                <w:sz w:val="22"/>
                <w:szCs w:val="22"/>
                <w:lang w:val="sq-AL"/>
              </w:rPr>
              <w:t xml:space="preserve"> data por </w:t>
            </w:r>
            <w:proofErr w:type="spellStart"/>
            <w:r w:rsidRPr="00146651">
              <w:rPr>
                <w:rFonts w:ascii="Calibri" w:hAnsi="Calibri" w:cs="Calibri"/>
                <w:b/>
                <w:sz w:val="22"/>
                <w:szCs w:val="22"/>
                <w:lang w:val="sq-AL"/>
              </w:rPr>
              <w:t>subject</w:t>
            </w:r>
            <w:proofErr w:type="spellEnd"/>
            <w:r w:rsidRPr="00146651">
              <w:rPr>
                <w:rFonts w:ascii="Calibri" w:hAnsi="Calibri" w:cs="Calibri"/>
                <w:b/>
                <w:sz w:val="22"/>
                <w:szCs w:val="22"/>
                <w:lang w:val="sq-AL"/>
              </w:rPr>
              <w:t>:</w:t>
            </w:r>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Academic</w:t>
            </w:r>
            <w:proofErr w:type="spellEnd"/>
            <w:r w:rsidRPr="00146651">
              <w:rPr>
                <w:rFonts w:ascii="Calibri" w:hAnsi="Calibri" w:cs="Calibri"/>
                <w:b/>
                <w:sz w:val="22"/>
                <w:szCs w:val="22"/>
                <w:lang w:val="sq-AL"/>
              </w:rPr>
              <w:t xml:space="preserve"> unit: </w:t>
            </w:r>
          </w:p>
        </w:tc>
        <w:tc>
          <w:tcPr>
            <w:tcW w:w="6835" w:type="dxa"/>
            <w:gridSpan w:val="4"/>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Economic</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Faculty</w:t>
            </w:r>
            <w:proofErr w:type="spellEnd"/>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Subject</w:t>
            </w:r>
            <w:proofErr w:type="spellEnd"/>
            <w:r w:rsidRPr="00146651">
              <w:rPr>
                <w:rFonts w:ascii="Calibri" w:hAnsi="Calibri" w:cs="Calibri"/>
                <w:b/>
                <w:sz w:val="22"/>
                <w:szCs w:val="22"/>
                <w:lang w:val="sq-AL"/>
              </w:rPr>
              <w:t>:</w:t>
            </w:r>
          </w:p>
        </w:tc>
        <w:tc>
          <w:tcPr>
            <w:tcW w:w="6835" w:type="dxa"/>
            <w:gridSpan w:val="4"/>
          </w:tcPr>
          <w:p w:rsidR="00235AC8" w:rsidRPr="00146651" w:rsidRDefault="00DC74C3" w:rsidP="00F029F7">
            <w:pPr>
              <w:pStyle w:val="NoSpacing"/>
              <w:rPr>
                <w:rFonts w:ascii="Calibri" w:hAnsi="Calibri" w:cs="Calibri"/>
                <w:b/>
                <w:sz w:val="22"/>
                <w:szCs w:val="22"/>
                <w:lang w:val="sq-AL"/>
              </w:rPr>
            </w:pPr>
            <w:r w:rsidRPr="00DC74C3">
              <w:rPr>
                <w:rFonts w:ascii="Calibri" w:hAnsi="Calibri" w:cs="Calibri"/>
                <w:b/>
                <w:sz w:val="22"/>
                <w:szCs w:val="22"/>
                <w:lang w:val="sq-AL"/>
              </w:rPr>
              <w:t>Principles of  Financial Management</w:t>
            </w:r>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Level</w:t>
            </w:r>
            <w:proofErr w:type="spellEnd"/>
            <w:r w:rsidRPr="00146651">
              <w:rPr>
                <w:rFonts w:ascii="Calibri" w:hAnsi="Calibri" w:cs="Calibri"/>
                <w:b/>
                <w:sz w:val="22"/>
                <w:szCs w:val="22"/>
                <w:lang w:val="sq-AL"/>
              </w:rPr>
              <w:t>:</w:t>
            </w:r>
          </w:p>
        </w:tc>
        <w:tc>
          <w:tcPr>
            <w:tcW w:w="6835" w:type="dxa"/>
            <w:gridSpan w:val="4"/>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BSc</w:t>
            </w:r>
            <w:proofErr w:type="spellEnd"/>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Subject</w:t>
            </w:r>
            <w:proofErr w:type="spellEnd"/>
            <w:r w:rsidRPr="00146651">
              <w:rPr>
                <w:rFonts w:ascii="Calibri" w:hAnsi="Calibri" w:cs="Calibri"/>
                <w:b/>
                <w:sz w:val="22"/>
                <w:szCs w:val="22"/>
                <w:lang w:val="sq-AL"/>
              </w:rPr>
              <w:t xml:space="preserve"> status:</w:t>
            </w:r>
          </w:p>
        </w:tc>
        <w:tc>
          <w:tcPr>
            <w:tcW w:w="6835" w:type="dxa"/>
            <w:gridSpan w:val="4"/>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Elective</w:t>
            </w:r>
            <w:proofErr w:type="spellEnd"/>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Study</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year</w:t>
            </w:r>
            <w:proofErr w:type="spellEnd"/>
            <w:r w:rsidRPr="00146651">
              <w:rPr>
                <w:rFonts w:ascii="Calibri" w:hAnsi="Calibri" w:cs="Calibri"/>
                <w:b/>
                <w:sz w:val="22"/>
                <w:szCs w:val="22"/>
                <w:lang w:val="sq-AL"/>
              </w:rPr>
              <w:t>:</w:t>
            </w:r>
          </w:p>
        </w:tc>
        <w:tc>
          <w:tcPr>
            <w:tcW w:w="6835" w:type="dxa"/>
            <w:gridSpan w:val="4"/>
          </w:tcPr>
          <w:p w:rsidR="00235AC8" w:rsidRPr="00146651" w:rsidRDefault="00235AC8" w:rsidP="00F029F7">
            <w:pPr>
              <w:pStyle w:val="NoSpacing"/>
              <w:rPr>
                <w:rFonts w:ascii="Calibri" w:hAnsi="Calibri" w:cs="Calibri"/>
                <w:b/>
                <w:sz w:val="22"/>
                <w:szCs w:val="22"/>
                <w:lang w:val="sq-AL"/>
              </w:rPr>
            </w:pPr>
            <w:r w:rsidRPr="00146651">
              <w:rPr>
                <w:rFonts w:ascii="Calibri" w:hAnsi="Calibri" w:cs="Calibri"/>
                <w:b/>
                <w:sz w:val="22"/>
                <w:szCs w:val="22"/>
                <w:lang w:val="sq-AL"/>
              </w:rPr>
              <w:t>3</w:t>
            </w:r>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No</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of</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hours</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per</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week</w:t>
            </w:r>
            <w:proofErr w:type="spellEnd"/>
            <w:r w:rsidRPr="00146651">
              <w:rPr>
                <w:rFonts w:ascii="Calibri" w:hAnsi="Calibri" w:cs="Calibri"/>
                <w:b/>
                <w:sz w:val="22"/>
                <w:szCs w:val="22"/>
                <w:lang w:val="sq-AL"/>
              </w:rPr>
              <w:t>:</w:t>
            </w:r>
          </w:p>
        </w:tc>
        <w:tc>
          <w:tcPr>
            <w:tcW w:w="6835" w:type="dxa"/>
            <w:gridSpan w:val="4"/>
          </w:tcPr>
          <w:p w:rsidR="00235AC8" w:rsidRPr="00146651" w:rsidRDefault="00235AC8" w:rsidP="00F029F7">
            <w:pPr>
              <w:pStyle w:val="NoSpacing"/>
              <w:rPr>
                <w:rFonts w:ascii="Calibri" w:hAnsi="Calibri" w:cs="Calibri"/>
                <w:b/>
                <w:sz w:val="22"/>
                <w:szCs w:val="22"/>
                <w:lang w:val="sq-AL"/>
              </w:rPr>
            </w:pPr>
            <w:r w:rsidRPr="00146651">
              <w:rPr>
                <w:rFonts w:ascii="Calibri" w:hAnsi="Calibri" w:cs="Calibri"/>
                <w:b/>
                <w:sz w:val="22"/>
                <w:szCs w:val="22"/>
                <w:lang w:val="sq-AL"/>
              </w:rPr>
              <w:t>2+1</w:t>
            </w:r>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r w:rsidRPr="00146651">
              <w:rPr>
                <w:rFonts w:ascii="Calibri" w:hAnsi="Calibri" w:cs="Calibri"/>
                <w:b/>
                <w:sz w:val="22"/>
                <w:szCs w:val="22"/>
                <w:lang w:val="sq-AL"/>
              </w:rPr>
              <w:t>ECTS:</w:t>
            </w:r>
          </w:p>
        </w:tc>
        <w:tc>
          <w:tcPr>
            <w:tcW w:w="6835" w:type="dxa"/>
            <w:gridSpan w:val="4"/>
          </w:tcPr>
          <w:p w:rsidR="00235AC8" w:rsidRPr="00146651" w:rsidRDefault="00235AC8" w:rsidP="00F029F7">
            <w:pPr>
              <w:pStyle w:val="NoSpacing"/>
              <w:rPr>
                <w:rFonts w:ascii="Calibri" w:hAnsi="Calibri" w:cs="Calibri"/>
                <w:b/>
                <w:sz w:val="22"/>
                <w:szCs w:val="22"/>
                <w:lang w:val="sq-AL"/>
              </w:rPr>
            </w:pPr>
            <w:r w:rsidRPr="00146651">
              <w:rPr>
                <w:rFonts w:ascii="Calibri" w:hAnsi="Calibri" w:cs="Calibri"/>
                <w:b/>
                <w:sz w:val="22"/>
                <w:szCs w:val="22"/>
                <w:lang w:val="sq-AL"/>
              </w:rPr>
              <w:t>4</w:t>
            </w:r>
            <w:r>
              <w:rPr>
                <w:rFonts w:ascii="Calibri" w:hAnsi="Calibri" w:cs="Calibri"/>
                <w:b/>
                <w:sz w:val="22"/>
                <w:szCs w:val="22"/>
                <w:lang w:val="sq-AL"/>
              </w:rPr>
              <w:t xml:space="preserve"> ECTS</w:t>
            </w:r>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r w:rsidRPr="00146651">
              <w:rPr>
                <w:rFonts w:ascii="Calibri" w:hAnsi="Calibri" w:cs="Calibri"/>
                <w:b/>
                <w:sz w:val="22"/>
                <w:szCs w:val="22"/>
                <w:lang w:val="sq-AL"/>
              </w:rPr>
              <w:t xml:space="preserve">Time / </w:t>
            </w:r>
            <w:proofErr w:type="spellStart"/>
            <w:r w:rsidRPr="00146651">
              <w:rPr>
                <w:rFonts w:ascii="Calibri" w:hAnsi="Calibri" w:cs="Calibri"/>
                <w:b/>
                <w:sz w:val="22"/>
                <w:szCs w:val="22"/>
                <w:lang w:val="sq-AL"/>
              </w:rPr>
              <w:t>Lokation</w:t>
            </w:r>
            <w:proofErr w:type="spellEnd"/>
            <w:r w:rsidRPr="00146651">
              <w:rPr>
                <w:rFonts w:ascii="Calibri" w:hAnsi="Calibri" w:cs="Calibri"/>
                <w:b/>
                <w:sz w:val="22"/>
                <w:szCs w:val="22"/>
                <w:lang w:val="sq-AL"/>
              </w:rPr>
              <w:t>:</w:t>
            </w:r>
          </w:p>
        </w:tc>
        <w:tc>
          <w:tcPr>
            <w:tcW w:w="6835" w:type="dxa"/>
            <w:gridSpan w:val="4"/>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Six</w:t>
            </w:r>
            <w:r>
              <w:rPr>
                <w:rFonts w:ascii="Calibri" w:hAnsi="Calibri" w:cs="Calibri"/>
                <w:b/>
                <w:sz w:val="22"/>
                <w:szCs w:val="22"/>
                <w:lang w:val="sq-AL"/>
              </w:rPr>
              <w:t>th</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Semester</w:t>
            </w:r>
            <w:proofErr w:type="spellEnd"/>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Proffesor</w:t>
            </w:r>
            <w:proofErr w:type="spellEnd"/>
            <w:r w:rsidRPr="00146651">
              <w:rPr>
                <w:rFonts w:ascii="Calibri" w:hAnsi="Calibri" w:cs="Calibri"/>
                <w:b/>
                <w:sz w:val="22"/>
                <w:szCs w:val="22"/>
                <w:lang w:val="sq-AL"/>
              </w:rPr>
              <w:t>:</w:t>
            </w:r>
          </w:p>
        </w:tc>
        <w:tc>
          <w:tcPr>
            <w:tcW w:w="6835" w:type="dxa"/>
            <w:gridSpan w:val="4"/>
          </w:tcPr>
          <w:p w:rsidR="00235AC8" w:rsidRPr="00146651" w:rsidRDefault="00235AC8" w:rsidP="00F029F7">
            <w:pPr>
              <w:pStyle w:val="NoSpacing"/>
              <w:rPr>
                <w:rFonts w:ascii="Calibri" w:hAnsi="Calibri" w:cs="Calibri"/>
                <w:b/>
                <w:sz w:val="22"/>
                <w:szCs w:val="22"/>
                <w:lang w:val="sq-AL"/>
              </w:rPr>
            </w:pPr>
            <w:proofErr w:type="spellStart"/>
            <w:r>
              <w:rPr>
                <w:b/>
                <w:szCs w:val="28"/>
              </w:rPr>
              <w:t>Dr.Arben</w:t>
            </w:r>
            <w:proofErr w:type="spellEnd"/>
            <w:r>
              <w:rPr>
                <w:b/>
                <w:szCs w:val="28"/>
              </w:rPr>
              <w:t xml:space="preserve"> </w:t>
            </w:r>
            <w:proofErr w:type="spellStart"/>
            <w:r>
              <w:rPr>
                <w:b/>
                <w:szCs w:val="28"/>
              </w:rPr>
              <w:t>Dermaku</w:t>
            </w:r>
            <w:proofErr w:type="spellEnd"/>
            <w:r>
              <w:rPr>
                <w:b/>
                <w:szCs w:val="28"/>
              </w:rPr>
              <w:t xml:space="preserve">, </w:t>
            </w:r>
            <w:proofErr w:type="spellStart"/>
            <w:r>
              <w:rPr>
                <w:b/>
                <w:szCs w:val="28"/>
              </w:rPr>
              <w:t>Dr.Arber</w:t>
            </w:r>
            <w:proofErr w:type="spellEnd"/>
            <w:r>
              <w:rPr>
                <w:b/>
                <w:szCs w:val="28"/>
              </w:rPr>
              <w:t xml:space="preserve"> </w:t>
            </w:r>
            <w:proofErr w:type="spellStart"/>
            <w:r>
              <w:rPr>
                <w:b/>
                <w:szCs w:val="28"/>
              </w:rPr>
              <w:t>Hoti</w:t>
            </w:r>
            <w:proofErr w:type="spellEnd"/>
          </w:p>
        </w:tc>
      </w:tr>
      <w:tr w:rsidR="00235AC8" w:rsidRPr="00146651" w:rsidTr="003F368C">
        <w:tc>
          <w:tcPr>
            <w:tcW w:w="1795" w:type="dxa"/>
          </w:tcPr>
          <w:p w:rsidR="00235AC8" w:rsidRPr="00146651" w:rsidRDefault="00235AC8" w:rsidP="00F029F7">
            <w:pPr>
              <w:pStyle w:val="NoSpacing"/>
              <w:rPr>
                <w:rFonts w:ascii="Calibri" w:hAnsi="Calibri" w:cs="Calibri"/>
                <w:b/>
                <w:sz w:val="22"/>
                <w:szCs w:val="22"/>
                <w:lang w:val="sq-AL"/>
              </w:rPr>
            </w:pPr>
            <w:proofErr w:type="spellStart"/>
            <w:r w:rsidRPr="00146651">
              <w:rPr>
                <w:rFonts w:ascii="Calibri" w:hAnsi="Calibri" w:cs="Calibri"/>
                <w:b/>
                <w:sz w:val="22"/>
                <w:szCs w:val="22"/>
                <w:lang w:val="sq-AL"/>
              </w:rPr>
              <w:t>Contact</w:t>
            </w:r>
            <w:proofErr w:type="spellEnd"/>
            <w:r w:rsidRPr="00146651">
              <w:rPr>
                <w:rFonts w:ascii="Calibri" w:hAnsi="Calibri" w:cs="Calibri"/>
                <w:b/>
                <w:sz w:val="22"/>
                <w:szCs w:val="22"/>
                <w:lang w:val="sq-AL"/>
              </w:rPr>
              <w:t xml:space="preserve"> </w:t>
            </w:r>
            <w:proofErr w:type="spellStart"/>
            <w:r w:rsidRPr="00146651">
              <w:rPr>
                <w:rFonts w:ascii="Calibri" w:hAnsi="Calibri" w:cs="Calibri"/>
                <w:b/>
                <w:sz w:val="22"/>
                <w:szCs w:val="22"/>
                <w:lang w:val="sq-AL"/>
              </w:rPr>
              <w:t>detals</w:t>
            </w:r>
            <w:proofErr w:type="spellEnd"/>
            <w:r w:rsidRPr="00146651">
              <w:rPr>
                <w:rFonts w:ascii="Calibri" w:hAnsi="Calibri" w:cs="Calibri"/>
                <w:b/>
                <w:sz w:val="22"/>
                <w:szCs w:val="22"/>
                <w:lang w:val="sq-AL"/>
              </w:rPr>
              <w:t xml:space="preserve">: </w:t>
            </w:r>
          </w:p>
        </w:tc>
        <w:tc>
          <w:tcPr>
            <w:tcW w:w="6835" w:type="dxa"/>
            <w:gridSpan w:val="4"/>
          </w:tcPr>
          <w:p w:rsidR="00235AC8" w:rsidRDefault="000143E2" w:rsidP="00235AC8">
            <w:pPr>
              <w:pStyle w:val="NoSpacing"/>
              <w:rPr>
                <w:b/>
                <w:szCs w:val="28"/>
              </w:rPr>
            </w:pPr>
            <w:hyperlink r:id="rId7" w:history="1">
              <w:r w:rsidR="00235AC8" w:rsidRPr="00DC4671">
                <w:rPr>
                  <w:rStyle w:val="Hyperlink"/>
                  <w:b/>
                  <w:szCs w:val="28"/>
                </w:rPr>
                <w:t>arben.dermaku@uni-pr.edu</w:t>
              </w:r>
            </w:hyperlink>
          </w:p>
          <w:p w:rsidR="00235AC8" w:rsidRPr="00146651" w:rsidRDefault="00235AC8" w:rsidP="00F029F7">
            <w:pPr>
              <w:pStyle w:val="NoSpacing"/>
              <w:rPr>
                <w:rFonts w:ascii="Calibri" w:hAnsi="Calibri" w:cs="Calibri"/>
                <w:b/>
                <w:sz w:val="22"/>
                <w:szCs w:val="22"/>
                <w:lang w:val="sq-AL"/>
              </w:rPr>
            </w:pPr>
          </w:p>
        </w:tc>
      </w:tr>
      <w:tr w:rsidR="00A522DE" w:rsidRPr="00777D28" w:rsidTr="003F368C">
        <w:tc>
          <w:tcPr>
            <w:tcW w:w="8630" w:type="dxa"/>
            <w:gridSpan w:val="5"/>
            <w:shd w:val="clear" w:color="auto" w:fill="B8CCE4"/>
          </w:tcPr>
          <w:p w:rsidR="00A522DE" w:rsidRPr="00777D28" w:rsidRDefault="00A522DE" w:rsidP="002215A6">
            <w:pPr>
              <w:pStyle w:val="NoSpacing"/>
              <w:rPr>
                <w:rFonts w:ascii="Calibri" w:hAnsi="Calibri"/>
              </w:rPr>
            </w:pPr>
          </w:p>
        </w:tc>
      </w:tr>
      <w:tr w:rsidR="00A522DE" w:rsidRPr="00777D28" w:rsidTr="003F368C">
        <w:tc>
          <w:tcPr>
            <w:tcW w:w="3562" w:type="dxa"/>
            <w:gridSpan w:val="2"/>
          </w:tcPr>
          <w:p w:rsidR="00A522DE" w:rsidRPr="00777D28" w:rsidRDefault="00235AC8" w:rsidP="002215A6">
            <w:pPr>
              <w:pStyle w:val="NoSpacing"/>
              <w:rPr>
                <w:rFonts w:ascii="Calibri" w:hAnsi="Calibri"/>
                <w:b/>
              </w:rPr>
            </w:pPr>
            <w:proofErr w:type="spellStart"/>
            <w:r>
              <w:rPr>
                <w:rFonts w:ascii="Calibri" w:hAnsi="Calibri" w:cs="Calibri"/>
                <w:b/>
                <w:sz w:val="22"/>
                <w:szCs w:val="22"/>
                <w:lang w:val="sq-AL"/>
              </w:rPr>
              <w:t>Course</w:t>
            </w:r>
            <w:proofErr w:type="spellEnd"/>
            <w:r>
              <w:rPr>
                <w:rFonts w:ascii="Calibri" w:hAnsi="Calibri" w:cs="Calibri"/>
                <w:b/>
                <w:sz w:val="22"/>
                <w:szCs w:val="22"/>
                <w:lang w:val="sq-AL"/>
              </w:rPr>
              <w:t xml:space="preserve"> </w:t>
            </w:r>
            <w:proofErr w:type="spellStart"/>
            <w:r>
              <w:rPr>
                <w:rFonts w:ascii="Calibri" w:hAnsi="Calibri" w:cs="Calibri"/>
                <w:b/>
                <w:sz w:val="22"/>
                <w:szCs w:val="22"/>
                <w:lang w:val="sq-AL"/>
              </w:rPr>
              <w:t>Description</w:t>
            </w:r>
            <w:proofErr w:type="spellEnd"/>
          </w:p>
        </w:tc>
        <w:tc>
          <w:tcPr>
            <w:tcW w:w="5068" w:type="dxa"/>
            <w:gridSpan w:val="3"/>
          </w:tcPr>
          <w:p w:rsidR="00A522DE" w:rsidRDefault="00A522DE" w:rsidP="002215A6">
            <w:pPr>
              <w:pStyle w:val="NoSpacing"/>
              <w:rPr>
                <w:rFonts w:ascii="Calibri" w:hAnsi="Calibri"/>
                <w:i/>
                <w:sz w:val="22"/>
                <w:szCs w:val="22"/>
              </w:rPr>
            </w:pPr>
          </w:p>
          <w:p w:rsidR="00A522DE" w:rsidRPr="00D67209" w:rsidRDefault="0006522C" w:rsidP="0006522C">
            <w:pPr>
              <w:pStyle w:val="NoSpacing"/>
              <w:rPr>
                <w:rFonts w:ascii="Calibri" w:hAnsi="Calibri"/>
                <w:i/>
                <w:sz w:val="22"/>
                <w:szCs w:val="22"/>
              </w:rPr>
            </w:pPr>
            <w:r w:rsidRPr="0006522C">
              <w:rPr>
                <w:sz w:val="22"/>
                <w:szCs w:val="22"/>
              </w:rPr>
              <w:t>The course Principles</w:t>
            </w:r>
            <w:r>
              <w:rPr>
                <w:sz w:val="22"/>
                <w:szCs w:val="22"/>
              </w:rPr>
              <w:t xml:space="preserve"> of </w:t>
            </w:r>
            <w:bookmarkStart w:id="0" w:name="_GoBack"/>
            <w:bookmarkEnd w:id="0"/>
            <w:r w:rsidRPr="0006522C">
              <w:rPr>
                <w:sz w:val="22"/>
                <w:szCs w:val="22"/>
              </w:rPr>
              <w:t>Financial</w:t>
            </w:r>
            <w:r>
              <w:rPr>
                <w:sz w:val="22"/>
                <w:szCs w:val="22"/>
              </w:rPr>
              <w:t xml:space="preserve"> Management</w:t>
            </w:r>
            <w:r w:rsidRPr="0006522C">
              <w:rPr>
                <w:sz w:val="22"/>
                <w:szCs w:val="22"/>
              </w:rPr>
              <w:t xml:space="preserve"> gives a complete knowledge of the aspects of financial management of enterprises. Specific topics are addressed on the firm's financial decisions, the meaning and significance of the time value of money, the interpretation of financial statements and reports, investments, risk and funding sources.</w:t>
            </w:r>
          </w:p>
        </w:tc>
      </w:tr>
      <w:tr w:rsidR="00A522DE" w:rsidRPr="00777D28" w:rsidTr="003F368C">
        <w:tc>
          <w:tcPr>
            <w:tcW w:w="3562" w:type="dxa"/>
            <w:gridSpan w:val="2"/>
          </w:tcPr>
          <w:p w:rsidR="00A522DE" w:rsidRPr="00777D28" w:rsidRDefault="00087B11" w:rsidP="002215A6">
            <w:pPr>
              <w:pStyle w:val="NoSpacing"/>
              <w:rPr>
                <w:rFonts w:ascii="Calibri" w:hAnsi="Calibri"/>
                <w:b/>
              </w:rPr>
            </w:pPr>
            <w:r>
              <w:rPr>
                <w:rFonts w:ascii="Calibri" w:hAnsi="Calibri"/>
                <w:b/>
              </w:rPr>
              <w:t>Course Objectives</w:t>
            </w:r>
          </w:p>
        </w:tc>
        <w:tc>
          <w:tcPr>
            <w:tcW w:w="5068" w:type="dxa"/>
            <w:gridSpan w:val="3"/>
          </w:tcPr>
          <w:p w:rsidR="00F3541C" w:rsidRPr="000110BD" w:rsidRDefault="0006522C" w:rsidP="002215A6">
            <w:pPr>
              <w:jc w:val="both"/>
            </w:pPr>
            <w:r w:rsidRPr="0006522C">
              <w:rPr>
                <w:sz w:val="22"/>
                <w:szCs w:val="22"/>
              </w:rPr>
              <w:t>The program aims to provide students with basic knowledge to relate them to other disciplines as well as to enable them to critically approach problem interpretation and their solution in other areas.</w:t>
            </w:r>
          </w:p>
        </w:tc>
      </w:tr>
      <w:tr w:rsidR="00A522DE" w:rsidRPr="00777D28" w:rsidTr="003F368C">
        <w:tc>
          <w:tcPr>
            <w:tcW w:w="3562" w:type="dxa"/>
            <w:gridSpan w:val="2"/>
          </w:tcPr>
          <w:p w:rsidR="00A522DE" w:rsidRPr="00777D28" w:rsidRDefault="00087B11" w:rsidP="002215A6">
            <w:pPr>
              <w:pStyle w:val="NoSpacing"/>
              <w:rPr>
                <w:rFonts w:ascii="Calibri" w:hAnsi="Calibri"/>
                <w:b/>
              </w:rPr>
            </w:pPr>
            <w:r>
              <w:rPr>
                <w:rFonts w:ascii="Calibri" w:hAnsi="Calibri"/>
                <w:b/>
              </w:rPr>
              <w:t>Learning Outcomes</w:t>
            </w:r>
          </w:p>
        </w:tc>
        <w:tc>
          <w:tcPr>
            <w:tcW w:w="5068" w:type="dxa"/>
            <w:gridSpan w:val="3"/>
          </w:tcPr>
          <w:p w:rsidR="00A522DE" w:rsidRPr="00EE72E9" w:rsidRDefault="00A522DE" w:rsidP="002215A6">
            <w:pPr>
              <w:pStyle w:val="NoSpacing"/>
              <w:rPr>
                <w:i/>
                <w:sz w:val="22"/>
                <w:szCs w:val="22"/>
              </w:rPr>
            </w:pPr>
          </w:p>
          <w:p w:rsidR="00675176" w:rsidRPr="00675176" w:rsidRDefault="00675176" w:rsidP="00675176">
            <w:pPr>
              <w:rPr>
                <w:sz w:val="22"/>
                <w:szCs w:val="22"/>
              </w:rPr>
            </w:pPr>
            <w:r w:rsidRPr="00675176">
              <w:rPr>
                <w:sz w:val="22"/>
                <w:szCs w:val="22"/>
              </w:rPr>
              <w:t>Upon completion of this course, students should be able to:</w:t>
            </w:r>
          </w:p>
          <w:p w:rsidR="00675176" w:rsidRPr="00675176" w:rsidRDefault="00675176" w:rsidP="00675176">
            <w:pPr>
              <w:rPr>
                <w:sz w:val="22"/>
                <w:szCs w:val="22"/>
              </w:rPr>
            </w:pPr>
          </w:p>
          <w:p w:rsidR="00675176" w:rsidRPr="00675176" w:rsidRDefault="00675176" w:rsidP="00675176">
            <w:pPr>
              <w:rPr>
                <w:sz w:val="22"/>
                <w:szCs w:val="22"/>
              </w:rPr>
            </w:pPr>
            <w:r w:rsidRPr="00675176">
              <w:rPr>
                <w:sz w:val="22"/>
                <w:szCs w:val="22"/>
              </w:rPr>
              <w:t>- understand the time value of money;</w:t>
            </w:r>
          </w:p>
          <w:p w:rsidR="00675176" w:rsidRPr="00675176" w:rsidRDefault="00675176" w:rsidP="00675176">
            <w:pPr>
              <w:rPr>
                <w:sz w:val="22"/>
                <w:szCs w:val="22"/>
              </w:rPr>
            </w:pPr>
            <w:r w:rsidRPr="00675176">
              <w:rPr>
                <w:sz w:val="22"/>
                <w:szCs w:val="22"/>
              </w:rPr>
              <w:t>interpret the information provided by the financial statements and reports;</w:t>
            </w:r>
          </w:p>
          <w:p w:rsidR="00675176" w:rsidRPr="00675176" w:rsidRDefault="00675176" w:rsidP="00675176">
            <w:pPr>
              <w:rPr>
                <w:sz w:val="22"/>
                <w:szCs w:val="22"/>
              </w:rPr>
            </w:pPr>
            <w:r w:rsidRPr="00675176">
              <w:rPr>
                <w:sz w:val="22"/>
                <w:szCs w:val="22"/>
              </w:rPr>
              <w:t>- link theoretical and practical knowledge of risk and its identification;</w:t>
            </w:r>
          </w:p>
          <w:p w:rsidR="00675176" w:rsidRPr="00675176" w:rsidRDefault="00675176" w:rsidP="00675176">
            <w:pPr>
              <w:rPr>
                <w:sz w:val="22"/>
                <w:szCs w:val="22"/>
              </w:rPr>
            </w:pPr>
            <w:r w:rsidRPr="00675176">
              <w:rPr>
                <w:sz w:val="22"/>
                <w:szCs w:val="22"/>
              </w:rPr>
              <w:t>- distinguish between sources of funding;</w:t>
            </w:r>
          </w:p>
          <w:p w:rsidR="00A522DE" w:rsidRPr="009425F7" w:rsidRDefault="00675176" w:rsidP="00675176">
            <w:r w:rsidRPr="00675176">
              <w:rPr>
                <w:sz w:val="22"/>
                <w:szCs w:val="22"/>
              </w:rPr>
              <w:t>- evaluate the performance of the firm;</w:t>
            </w:r>
          </w:p>
          <w:p w:rsidR="00A522DE" w:rsidRPr="00EE72E9" w:rsidRDefault="00A522DE" w:rsidP="002215A6">
            <w:pPr>
              <w:pStyle w:val="NoSpacing"/>
              <w:rPr>
                <w:i/>
                <w:sz w:val="22"/>
                <w:szCs w:val="22"/>
              </w:rPr>
            </w:pPr>
          </w:p>
        </w:tc>
      </w:tr>
      <w:tr w:rsidR="00A522DE" w:rsidRPr="00777D28" w:rsidTr="003F368C">
        <w:tc>
          <w:tcPr>
            <w:tcW w:w="8630" w:type="dxa"/>
            <w:gridSpan w:val="5"/>
            <w:shd w:val="clear" w:color="auto" w:fill="B8CCE4"/>
          </w:tcPr>
          <w:p w:rsidR="00A522DE" w:rsidRDefault="00A522DE" w:rsidP="002215A6">
            <w:pPr>
              <w:pStyle w:val="NoSpacing"/>
              <w:rPr>
                <w:rFonts w:ascii="Calibri" w:hAnsi="Calibri"/>
                <w:i/>
                <w:sz w:val="22"/>
                <w:szCs w:val="22"/>
              </w:rPr>
            </w:pPr>
          </w:p>
        </w:tc>
      </w:tr>
      <w:tr w:rsidR="00A522DE" w:rsidRPr="00777D28" w:rsidTr="003F368C">
        <w:tc>
          <w:tcPr>
            <w:tcW w:w="8630" w:type="dxa"/>
            <w:gridSpan w:val="5"/>
            <w:shd w:val="clear" w:color="auto" w:fill="B8CCE4"/>
          </w:tcPr>
          <w:p w:rsidR="00A522DE" w:rsidRPr="00183923" w:rsidRDefault="00A522DE" w:rsidP="002215A6">
            <w:pPr>
              <w:pStyle w:val="NoSpacing"/>
              <w:jc w:val="center"/>
              <w:rPr>
                <w:rFonts w:ascii="Calibri" w:hAnsi="Calibri"/>
                <w:b/>
              </w:rPr>
            </w:pPr>
          </w:p>
        </w:tc>
      </w:tr>
      <w:tr w:rsidR="003F368C" w:rsidRPr="00777D28" w:rsidTr="003F368C">
        <w:tc>
          <w:tcPr>
            <w:tcW w:w="3562" w:type="dxa"/>
            <w:gridSpan w:val="2"/>
            <w:tcBorders>
              <w:right w:val="single" w:sz="4" w:space="0" w:color="auto"/>
            </w:tcBorders>
            <w:shd w:val="clear" w:color="auto" w:fill="B8CCE4"/>
          </w:tcPr>
          <w:p w:rsidR="003F368C" w:rsidRPr="00146651" w:rsidRDefault="003F368C" w:rsidP="003F368C">
            <w:pPr>
              <w:pStyle w:val="NoSpacing"/>
              <w:jc w:val="center"/>
              <w:rPr>
                <w:rFonts w:ascii="Calibri" w:hAnsi="Calibri" w:cs="Calibri"/>
                <w:b/>
                <w:sz w:val="22"/>
                <w:szCs w:val="22"/>
                <w:lang w:val="sq-AL"/>
              </w:rPr>
            </w:pPr>
            <w:r w:rsidRPr="00146651">
              <w:rPr>
                <w:rFonts w:ascii="Calibri" w:hAnsi="Calibri" w:cs="Calibri"/>
                <w:b/>
                <w:sz w:val="22"/>
                <w:szCs w:val="22"/>
              </w:rPr>
              <w:t>Contribution to student load</w:t>
            </w:r>
          </w:p>
        </w:tc>
        <w:tc>
          <w:tcPr>
            <w:tcW w:w="1367" w:type="dxa"/>
            <w:tcBorders>
              <w:left w:val="single" w:sz="4" w:space="0" w:color="auto"/>
              <w:right w:val="single" w:sz="4" w:space="0" w:color="auto"/>
            </w:tcBorders>
            <w:shd w:val="clear" w:color="auto" w:fill="B8CCE4"/>
          </w:tcPr>
          <w:p w:rsidR="003F368C" w:rsidRPr="007C3132" w:rsidRDefault="003F368C" w:rsidP="003F368C">
            <w:pPr>
              <w:rPr>
                <w:rFonts w:ascii="Calibri" w:hAnsi="Calibri" w:cs="Arial"/>
                <w:b/>
              </w:rPr>
            </w:pPr>
          </w:p>
        </w:tc>
        <w:tc>
          <w:tcPr>
            <w:tcW w:w="1724" w:type="dxa"/>
            <w:tcBorders>
              <w:left w:val="single" w:sz="4" w:space="0" w:color="auto"/>
              <w:right w:val="single" w:sz="4" w:space="0" w:color="auto"/>
            </w:tcBorders>
            <w:shd w:val="clear" w:color="auto" w:fill="B8CCE4"/>
          </w:tcPr>
          <w:p w:rsidR="003F368C" w:rsidRPr="007C3132" w:rsidRDefault="003F368C" w:rsidP="003F368C">
            <w:pPr>
              <w:rPr>
                <w:rFonts w:ascii="Calibri" w:hAnsi="Calibri" w:cs="Arial"/>
                <w:b/>
              </w:rPr>
            </w:pPr>
          </w:p>
        </w:tc>
        <w:tc>
          <w:tcPr>
            <w:tcW w:w="1977" w:type="dxa"/>
            <w:tcBorders>
              <w:left w:val="single" w:sz="4" w:space="0" w:color="auto"/>
            </w:tcBorders>
            <w:shd w:val="clear" w:color="auto" w:fill="B8CCE4"/>
          </w:tcPr>
          <w:p w:rsidR="003F368C" w:rsidRPr="007C3132" w:rsidRDefault="003F368C" w:rsidP="003F368C">
            <w:pPr>
              <w:rPr>
                <w:rFonts w:ascii="Calibri" w:hAnsi="Calibri" w:cs="Arial"/>
                <w:b/>
              </w:rPr>
            </w:pP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b/>
                <w:sz w:val="22"/>
                <w:szCs w:val="22"/>
                <w:lang w:val="sq-AL"/>
              </w:rPr>
            </w:pPr>
            <w:proofErr w:type="spellStart"/>
            <w:r>
              <w:rPr>
                <w:rFonts w:ascii="Calibri" w:hAnsi="Calibri" w:cs="Calibri"/>
                <w:b/>
                <w:sz w:val="22"/>
                <w:szCs w:val="22"/>
                <w:lang w:val="sq-AL"/>
              </w:rPr>
              <w:t>Ac</w:t>
            </w:r>
            <w:r w:rsidRPr="00146651">
              <w:rPr>
                <w:rFonts w:ascii="Calibri" w:hAnsi="Calibri" w:cs="Calibri"/>
                <w:b/>
                <w:sz w:val="22"/>
                <w:szCs w:val="22"/>
                <w:lang w:val="sq-AL"/>
              </w:rPr>
              <w:t>tivity</w:t>
            </w:r>
            <w:proofErr w:type="spellEnd"/>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b/>
                <w:sz w:val="22"/>
                <w:szCs w:val="22"/>
                <w:lang w:val="sq-AL"/>
              </w:rPr>
            </w:pPr>
            <w:proofErr w:type="spellStart"/>
            <w:r w:rsidRPr="00146651">
              <w:rPr>
                <w:rFonts w:ascii="Calibri" w:hAnsi="Calibri" w:cs="Calibri"/>
                <w:b/>
                <w:sz w:val="22"/>
                <w:szCs w:val="22"/>
                <w:lang w:val="sq-AL"/>
              </w:rPr>
              <w:t>Ours</w:t>
            </w:r>
            <w:proofErr w:type="spellEnd"/>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b/>
                <w:sz w:val="22"/>
                <w:szCs w:val="22"/>
                <w:lang w:val="sq-AL"/>
              </w:rPr>
            </w:pPr>
            <w:proofErr w:type="spellStart"/>
            <w:r w:rsidRPr="00146651">
              <w:rPr>
                <w:rFonts w:ascii="Calibri" w:hAnsi="Calibri" w:cs="Calibri"/>
                <w:b/>
                <w:sz w:val="22"/>
                <w:szCs w:val="22"/>
                <w:lang w:val="sq-AL"/>
              </w:rPr>
              <w:t>Day</w:t>
            </w:r>
            <w:proofErr w:type="spellEnd"/>
            <w:r w:rsidRPr="00146651">
              <w:rPr>
                <w:rFonts w:ascii="Calibri" w:hAnsi="Calibri" w:cs="Calibri"/>
                <w:b/>
                <w:sz w:val="22"/>
                <w:szCs w:val="22"/>
                <w:lang w:val="sq-AL"/>
              </w:rPr>
              <w:t>/</w:t>
            </w:r>
            <w:proofErr w:type="spellStart"/>
            <w:r w:rsidRPr="00146651">
              <w:rPr>
                <w:rFonts w:ascii="Calibri" w:hAnsi="Calibri" w:cs="Calibri"/>
                <w:b/>
                <w:sz w:val="22"/>
                <w:szCs w:val="22"/>
                <w:lang w:val="sq-AL"/>
              </w:rPr>
              <w:t>week</w:t>
            </w:r>
            <w:proofErr w:type="spellEnd"/>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b/>
                <w:sz w:val="22"/>
                <w:szCs w:val="22"/>
                <w:lang w:val="sq-AL"/>
              </w:rPr>
            </w:pPr>
            <w:r w:rsidRPr="00146651">
              <w:rPr>
                <w:rFonts w:ascii="Calibri" w:hAnsi="Calibri" w:cs="Calibri"/>
                <w:b/>
                <w:sz w:val="22"/>
                <w:szCs w:val="22"/>
                <w:lang w:val="sq-AL"/>
              </w:rPr>
              <w:t>Total</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Lectures</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13</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26</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Theoretical / laboratory exercises</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15</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15</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Practical work</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0</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0</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0</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lastRenderedPageBreak/>
              <w:t>Contacts with the teacher / consultations</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15</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15</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Field exercises</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Colloquium, seminars</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4</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Homework</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10</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20</w:t>
            </w:r>
          </w:p>
        </w:tc>
      </w:tr>
      <w:tr w:rsidR="003F368C" w:rsidRPr="00777D28" w:rsidTr="003F368C">
        <w:tc>
          <w:tcPr>
            <w:tcW w:w="3562" w:type="dxa"/>
            <w:gridSpan w:val="2"/>
            <w:tcBorders>
              <w:right w:val="single" w:sz="4" w:space="0" w:color="auto"/>
            </w:tcBorders>
            <w:shd w:val="clear" w:color="auto" w:fill="FFFFFF"/>
          </w:tcPr>
          <w:p w:rsidR="003F368C" w:rsidRPr="00146651" w:rsidRDefault="003F368C" w:rsidP="003F368C">
            <w:pPr>
              <w:rPr>
                <w:rFonts w:ascii="Calibri" w:hAnsi="Calibri" w:cs="Calibri"/>
                <w:sz w:val="22"/>
                <w:szCs w:val="22"/>
              </w:rPr>
            </w:pPr>
            <w:r w:rsidRPr="00146651">
              <w:rPr>
                <w:rFonts w:ascii="Calibri" w:hAnsi="Calibri" w:cs="Calibri"/>
                <w:sz w:val="22"/>
                <w:szCs w:val="22"/>
              </w:rPr>
              <w:t>Student study time (in library or at home)</w:t>
            </w:r>
          </w:p>
        </w:tc>
        <w:tc>
          <w:tcPr>
            <w:tcW w:w="1367"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w:t>
            </w:r>
          </w:p>
        </w:tc>
        <w:tc>
          <w:tcPr>
            <w:tcW w:w="1724" w:type="dxa"/>
            <w:tcBorders>
              <w:left w:val="single" w:sz="4" w:space="0" w:color="auto"/>
              <w:righ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5</w:t>
            </w:r>
          </w:p>
        </w:tc>
        <w:tc>
          <w:tcPr>
            <w:tcW w:w="1977" w:type="dxa"/>
            <w:tcBorders>
              <w:left w:val="single" w:sz="4" w:space="0" w:color="auto"/>
            </w:tcBorders>
            <w:shd w:val="clear" w:color="auto" w:fill="FFFFFF"/>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10</w:t>
            </w:r>
          </w:p>
        </w:tc>
      </w:tr>
      <w:tr w:rsidR="003F368C" w:rsidRPr="00777D28" w:rsidTr="003F368C">
        <w:tc>
          <w:tcPr>
            <w:tcW w:w="3562" w:type="dxa"/>
            <w:gridSpan w:val="2"/>
            <w:tcBorders>
              <w:right w:val="single" w:sz="4" w:space="0" w:color="auto"/>
            </w:tcBorders>
            <w:shd w:val="clear" w:color="auto" w:fill="B8CCE4"/>
          </w:tcPr>
          <w:p w:rsidR="003F368C" w:rsidRPr="00146651" w:rsidRDefault="003F368C" w:rsidP="003F368C">
            <w:pPr>
              <w:rPr>
                <w:rFonts w:ascii="Calibri" w:hAnsi="Calibri" w:cs="Calibri"/>
                <w:sz w:val="22"/>
                <w:szCs w:val="22"/>
              </w:rPr>
            </w:pPr>
            <w:r w:rsidRPr="00146651">
              <w:rPr>
                <w:rFonts w:ascii="Calibri" w:hAnsi="Calibri" w:cs="Calibri"/>
                <w:sz w:val="22"/>
                <w:szCs w:val="22"/>
              </w:rPr>
              <w:t>Final exam preparation</w:t>
            </w:r>
          </w:p>
        </w:tc>
        <w:tc>
          <w:tcPr>
            <w:tcW w:w="1367" w:type="dxa"/>
            <w:tcBorders>
              <w:left w:val="single" w:sz="4" w:space="0" w:color="auto"/>
              <w:right w:val="single" w:sz="4" w:space="0" w:color="auto"/>
            </w:tcBorders>
            <w:shd w:val="clear" w:color="auto" w:fill="B8CCE4"/>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2</w:t>
            </w:r>
          </w:p>
        </w:tc>
        <w:tc>
          <w:tcPr>
            <w:tcW w:w="1724" w:type="dxa"/>
            <w:tcBorders>
              <w:left w:val="single" w:sz="4" w:space="0" w:color="auto"/>
              <w:right w:val="single" w:sz="4" w:space="0" w:color="auto"/>
            </w:tcBorders>
            <w:shd w:val="clear" w:color="auto" w:fill="B8CCE4"/>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5</w:t>
            </w:r>
          </w:p>
        </w:tc>
        <w:tc>
          <w:tcPr>
            <w:tcW w:w="1977" w:type="dxa"/>
            <w:tcBorders>
              <w:left w:val="single" w:sz="4" w:space="0" w:color="auto"/>
            </w:tcBorders>
            <w:shd w:val="clear" w:color="auto" w:fill="B8CCE4"/>
          </w:tcPr>
          <w:p w:rsidR="003F368C" w:rsidRPr="00146651" w:rsidRDefault="003F368C" w:rsidP="003F368C">
            <w:pPr>
              <w:jc w:val="center"/>
              <w:rPr>
                <w:rFonts w:ascii="Calibri" w:hAnsi="Calibri" w:cs="Calibri"/>
                <w:sz w:val="22"/>
                <w:szCs w:val="22"/>
                <w:lang w:val="sq-AL"/>
              </w:rPr>
            </w:pPr>
            <w:r w:rsidRPr="00146651">
              <w:rPr>
                <w:rFonts w:ascii="Calibri" w:hAnsi="Calibri" w:cs="Calibri"/>
                <w:sz w:val="22"/>
                <w:szCs w:val="22"/>
                <w:lang w:val="sq-AL"/>
              </w:rPr>
              <w:t>10</w:t>
            </w:r>
          </w:p>
        </w:tc>
      </w:tr>
      <w:tr w:rsidR="003F368C" w:rsidRPr="00777D28" w:rsidTr="003F368C">
        <w:tc>
          <w:tcPr>
            <w:tcW w:w="3562" w:type="dxa"/>
            <w:gridSpan w:val="2"/>
            <w:tcBorders>
              <w:right w:val="single" w:sz="4" w:space="0" w:color="auto"/>
            </w:tcBorders>
            <w:shd w:val="clear" w:color="auto" w:fill="B8CCE4"/>
          </w:tcPr>
          <w:p w:rsidR="003F368C" w:rsidRPr="00146651" w:rsidRDefault="003F368C" w:rsidP="003F368C">
            <w:pPr>
              <w:rPr>
                <w:rFonts w:ascii="Calibri" w:hAnsi="Calibri" w:cs="Calibri"/>
                <w:sz w:val="22"/>
                <w:szCs w:val="22"/>
              </w:rPr>
            </w:pPr>
            <w:r>
              <w:rPr>
                <w:rFonts w:ascii="Calibri" w:hAnsi="Calibri" w:cs="Calibri"/>
                <w:sz w:val="22"/>
                <w:szCs w:val="22"/>
              </w:rPr>
              <w:t>Total</w:t>
            </w:r>
          </w:p>
        </w:tc>
        <w:tc>
          <w:tcPr>
            <w:tcW w:w="1367" w:type="dxa"/>
            <w:tcBorders>
              <w:left w:val="single" w:sz="4" w:space="0" w:color="auto"/>
              <w:right w:val="single" w:sz="4" w:space="0" w:color="auto"/>
            </w:tcBorders>
            <w:shd w:val="clear" w:color="auto" w:fill="B8CCE4"/>
          </w:tcPr>
          <w:p w:rsidR="003F368C" w:rsidRPr="00146651" w:rsidRDefault="003F368C" w:rsidP="003F368C">
            <w:pPr>
              <w:jc w:val="center"/>
              <w:rPr>
                <w:rFonts w:ascii="Calibri" w:hAnsi="Calibri" w:cs="Calibri"/>
                <w:sz w:val="22"/>
                <w:szCs w:val="22"/>
                <w:lang w:val="sq-AL"/>
              </w:rPr>
            </w:pPr>
          </w:p>
        </w:tc>
        <w:tc>
          <w:tcPr>
            <w:tcW w:w="1724" w:type="dxa"/>
            <w:tcBorders>
              <w:left w:val="single" w:sz="4" w:space="0" w:color="auto"/>
              <w:right w:val="single" w:sz="4" w:space="0" w:color="auto"/>
            </w:tcBorders>
            <w:shd w:val="clear" w:color="auto" w:fill="B8CCE4"/>
          </w:tcPr>
          <w:p w:rsidR="003F368C" w:rsidRPr="00146651" w:rsidRDefault="003F368C" w:rsidP="003F368C">
            <w:pPr>
              <w:jc w:val="center"/>
              <w:rPr>
                <w:rFonts w:ascii="Calibri" w:hAnsi="Calibri" w:cs="Calibri"/>
                <w:sz w:val="22"/>
                <w:szCs w:val="22"/>
                <w:lang w:val="sq-AL"/>
              </w:rPr>
            </w:pPr>
          </w:p>
        </w:tc>
        <w:tc>
          <w:tcPr>
            <w:tcW w:w="1977" w:type="dxa"/>
            <w:tcBorders>
              <w:left w:val="single" w:sz="4" w:space="0" w:color="auto"/>
            </w:tcBorders>
            <w:shd w:val="clear" w:color="auto" w:fill="B8CCE4"/>
          </w:tcPr>
          <w:p w:rsidR="003F368C" w:rsidRPr="00146651" w:rsidRDefault="003F368C" w:rsidP="003F368C">
            <w:pPr>
              <w:jc w:val="center"/>
              <w:rPr>
                <w:rFonts w:ascii="Calibri" w:hAnsi="Calibri" w:cs="Calibri"/>
                <w:sz w:val="22"/>
                <w:szCs w:val="22"/>
                <w:lang w:val="sq-AL"/>
              </w:rPr>
            </w:pPr>
            <w:r>
              <w:rPr>
                <w:rFonts w:ascii="Calibri" w:hAnsi="Calibri" w:cs="Calibri"/>
                <w:sz w:val="22"/>
                <w:szCs w:val="22"/>
                <w:lang w:val="sq-AL"/>
              </w:rPr>
              <w:t>100</w:t>
            </w:r>
          </w:p>
        </w:tc>
      </w:tr>
      <w:tr w:rsidR="003F368C" w:rsidRPr="00777D28" w:rsidTr="003F368C">
        <w:tc>
          <w:tcPr>
            <w:tcW w:w="3562" w:type="dxa"/>
            <w:gridSpan w:val="2"/>
          </w:tcPr>
          <w:p w:rsidR="003F368C" w:rsidRPr="00777D28" w:rsidRDefault="00ED3C94" w:rsidP="003F368C">
            <w:pPr>
              <w:pStyle w:val="NoSpacing"/>
              <w:rPr>
                <w:rFonts w:ascii="Calibri" w:hAnsi="Calibri"/>
                <w:b/>
              </w:rPr>
            </w:pPr>
            <w:r w:rsidRPr="00A52215">
              <w:rPr>
                <w:b/>
                <w:sz w:val="22"/>
                <w:szCs w:val="22"/>
              </w:rPr>
              <w:t>Teaching Methodology:</w:t>
            </w:r>
          </w:p>
        </w:tc>
        <w:tc>
          <w:tcPr>
            <w:tcW w:w="5068" w:type="dxa"/>
            <w:gridSpan w:val="3"/>
          </w:tcPr>
          <w:p w:rsidR="003F368C" w:rsidRPr="003668C4" w:rsidRDefault="002A0DB4" w:rsidP="002F41BB">
            <w:r w:rsidRPr="002F41BB">
              <w:rPr>
                <w:sz w:val="22"/>
                <w:szCs w:val="22"/>
              </w:rPr>
              <w:t>Two hours of lectures per week will cover the teaching material. In addition to the compulsory literature, students will have the opportunity to make presentations of specific problems, according to their interest. They will also use data from the internet, and experiences from businesses. The working method will focus on interactive lectures and exercises with student participation in the learning process, with individual and group presentations, etc.</w:t>
            </w:r>
          </w:p>
        </w:tc>
      </w:tr>
      <w:tr w:rsidR="003F368C" w:rsidRPr="00777D28" w:rsidTr="003F368C">
        <w:tc>
          <w:tcPr>
            <w:tcW w:w="3562" w:type="dxa"/>
            <w:gridSpan w:val="2"/>
          </w:tcPr>
          <w:p w:rsidR="003F368C" w:rsidRPr="00777D28" w:rsidRDefault="003F368C" w:rsidP="003F368C">
            <w:pPr>
              <w:pStyle w:val="NoSpacing"/>
              <w:rPr>
                <w:rFonts w:ascii="Calibri" w:hAnsi="Calibri"/>
                <w:b/>
              </w:rPr>
            </w:pPr>
          </w:p>
        </w:tc>
        <w:tc>
          <w:tcPr>
            <w:tcW w:w="5068" w:type="dxa"/>
            <w:gridSpan w:val="3"/>
          </w:tcPr>
          <w:p w:rsidR="003F368C" w:rsidRDefault="003F368C" w:rsidP="003F368C">
            <w:pPr>
              <w:pStyle w:val="NoSpacing"/>
              <w:rPr>
                <w:rFonts w:ascii="Calibri" w:hAnsi="Calibri"/>
                <w:i/>
                <w:sz w:val="22"/>
                <w:szCs w:val="22"/>
              </w:rPr>
            </w:pPr>
          </w:p>
        </w:tc>
      </w:tr>
      <w:tr w:rsidR="003F368C" w:rsidRPr="00777D28" w:rsidTr="003F368C">
        <w:tc>
          <w:tcPr>
            <w:tcW w:w="3562" w:type="dxa"/>
            <w:gridSpan w:val="2"/>
          </w:tcPr>
          <w:p w:rsidR="00ED3C94" w:rsidRPr="00A52215" w:rsidRDefault="00ED3C94" w:rsidP="00ED3C94">
            <w:pPr>
              <w:pStyle w:val="NoSpacing"/>
              <w:rPr>
                <w:b/>
                <w:sz w:val="22"/>
                <w:szCs w:val="22"/>
              </w:rPr>
            </w:pPr>
            <w:r w:rsidRPr="00A52215">
              <w:rPr>
                <w:b/>
                <w:sz w:val="22"/>
                <w:szCs w:val="22"/>
              </w:rPr>
              <w:t>Methods of assessment:</w:t>
            </w:r>
          </w:p>
          <w:p w:rsidR="003F368C" w:rsidRPr="00777D28" w:rsidRDefault="003F368C" w:rsidP="003F368C">
            <w:pPr>
              <w:pStyle w:val="NoSpacing"/>
              <w:rPr>
                <w:rFonts w:ascii="Calibri" w:hAnsi="Calibri"/>
                <w:b/>
              </w:rPr>
            </w:pPr>
          </w:p>
        </w:tc>
        <w:tc>
          <w:tcPr>
            <w:tcW w:w="5068" w:type="dxa"/>
            <w:gridSpan w:val="3"/>
          </w:tcPr>
          <w:p w:rsidR="003F368C" w:rsidRPr="003635C8" w:rsidRDefault="003F368C" w:rsidP="003F368C">
            <w:pPr>
              <w:ind w:left="1080"/>
              <w:rPr>
                <w:color w:val="000000"/>
              </w:rPr>
            </w:pPr>
          </w:p>
          <w:p w:rsidR="003F368C" w:rsidRPr="003635C8" w:rsidRDefault="003F368C" w:rsidP="003F368C">
            <w:pPr>
              <w:pStyle w:val="NoSpacing"/>
              <w:rPr>
                <w:sz w:val="22"/>
                <w:szCs w:val="22"/>
              </w:rPr>
            </w:pPr>
            <w:r>
              <w:rPr>
                <w:sz w:val="22"/>
                <w:szCs w:val="22"/>
              </w:rPr>
              <w:t xml:space="preserve">a. </w:t>
            </w:r>
            <w:r w:rsidR="00F0202A">
              <w:rPr>
                <w:sz w:val="22"/>
                <w:szCs w:val="22"/>
              </w:rPr>
              <w:t>First test</w:t>
            </w:r>
            <w:r w:rsidRPr="003635C8">
              <w:rPr>
                <w:sz w:val="22"/>
                <w:szCs w:val="22"/>
              </w:rPr>
              <w:t xml:space="preserve">           25%</w:t>
            </w:r>
          </w:p>
          <w:p w:rsidR="003F368C" w:rsidRPr="003635C8" w:rsidRDefault="003F368C" w:rsidP="003F368C">
            <w:pPr>
              <w:pStyle w:val="NoSpacing"/>
              <w:rPr>
                <w:sz w:val="22"/>
                <w:szCs w:val="22"/>
              </w:rPr>
            </w:pPr>
            <w:r w:rsidRPr="003635C8">
              <w:rPr>
                <w:sz w:val="22"/>
                <w:szCs w:val="22"/>
              </w:rPr>
              <w:t xml:space="preserve">b. </w:t>
            </w:r>
            <w:r w:rsidR="00F0202A">
              <w:rPr>
                <w:sz w:val="22"/>
                <w:szCs w:val="22"/>
              </w:rPr>
              <w:t>Second test</w:t>
            </w:r>
            <w:r w:rsidRPr="003635C8">
              <w:rPr>
                <w:sz w:val="22"/>
                <w:szCs w:val="22"/>
              </w:rPr>
              <w:t xml:space="preserve">           25%</w:t>
            </w:r>
          </w:p>
          <w:p w:rsidR="003F368C" w:rsidRPr="003635C8" w:rsidRDefault="003F368C" w:rsidP="003F368C">
            <w:pPr>
              <w:pStyle w:val="NoSpacing"/>
              <w:rPr>
                <w:sz w:val="22"/>
                <w:szCs w:val="22"/>
              </w:rPr>
            </w:pPr>
            <w:r w:rsidRPr="003635C8">
              <w:rPr>
                <w:sz w:val="22"/>
                <w:szCs w:val="22"/>
              </w:rPr>
              <w:t xml:space="preserve">c. </w:t>
            </w:r>
            <w:r w:rsidR="00F0202A">
              <w:rPr>
                <w:sz w:val="22"/>
                <w:szCs w:val="22"/>
              </w:rPr>
              <w:t>Participation</w:t>
            </w:r>
            <w:r w:rsidRPr="003635C8">
              <w:rPr>
                <w:sz w:val="22"/>
                <w:szCs w:val="22"/>
              </w:rPr>
              <w:t xml:space="preserve">             10%</w:t>
            </w:r>
          </w:p>
          <w:p w:rsidR="003F368C" w:rsidRPr="003635C8" w:rsidRDefault="003F368C" w:rsidP="003F368C">
            <w:pPr>
              <w:pStyle w:val="NoSpacing"/>
              <w:rPr>
                <w:sz w:val="22"/>
                <w:szCs w:val="22"/>
              </w:rPr>
            </w:pPr>
            <w:r w:rsidRPr="003635C8">
              <w:rPr>
                <w:sz w:val="22"/>
                <w:szCs w:val="22"/>
              </w:rPr>
              <w:t xml:space="preserve">d. </w:t>
            </w:r>
            <w:r w:rsidR="00F0202A">
              <w:rPr>
                <w:sz w:val="22"/>
                <w:szCs w:val="22"/>
              </w:rPr>
              <w:t>Final Exam</w:t>
            </w:r>
            <w:r>
              <w:rPr>
                <w:sz w:val="22"/>
                <w:szCs w:val="22"/>
              </w:rPr>
              <w:t xml:space="preserve">                  5</w:t>
            </w:r>
            <w:r w:rsidRPr="003635C8">
              <w:rPr>
                <w:sz w:val="22"/>
                <w:szCs w:val="22"/>
              </w:rPr>
              <w:t xml:space="preserve">0%        </w:t>
            </w:r>
          </w:p>
          <w:p w:rsidR="003F368C" w:rsidRPr="003635C8" w:rsidRDefault="003F368C" w:rsidP="003F368C">
            <w:pPr>
              <w:pStyle w:val="NoSpacing"/>
              <w:rPr>
                <w:sz w:val="22"/>
                <w:szCs w:val="22"/>
              </w:rPr>
            </w:pPr>
          </w:p>
          <w:p w:rsidR="003F368C" w:rsidRDefault="00F0202A" w:rsidP="003F368C">
            <w:pPr>
              <w:pStyle w:val="NoSpacing"/>
              <w:rPr>
                <w:sz w:val="22"/>
                <w:szCs w:val="22"/>
              </w:rPr>
            </w:pPr>
            <w:r>
              <w:rPr>
                <w:sz w:val="22"/>
                <w:szCs w:val="22"/>
              </w:rPr>
              <w:t>TOTAL</w:t>
            </w:r>
            <w:r w:rsidR="003F368C" w:rsidRPr="003635C8">
              <w:rPr>
                <w:sz w:val="22"/>
                <w:szCs w:val="22"/>
              </w:rPr>
              <w:t>:                           100%</w:t>
            </w:r>
          </w:p>
          <w:p w:rsidR="003F368C" w:rsidRPr="003635C8" w:rsidRDefault="00F0202A" w:rsidP="003F368C">
            <w:pPr>
              <w:pStyle w:val="NoSpacing"/>
              <w:rPr>
                <w:sz w:val="22"/>
                <w:szCs w:val="22"/>
              </w:rPr>
            </w:pPr>
            <w:r>
              <w:rPr>
                <w:sz w:val="22"/>
                <w:szCs w:val="22"/>
              </w:rPr>
              <w:t xml:space="preserve">Passing                              </w:t>
            </w:r>
            <w:r w:rsidR="003F368C">
              <w:rPr>
                <w:sz w:val="22"/>
                <w:szCs w:val="22"/>
              </w:rPr>
              <w:t xml:space="preserve"> 51%</w:t>
            </w:r>
          </w:p>
        </w:tc>
      </w:tr>
      <w:tr w:rsidR="003F368C" w:rsidRPr="00777D28" w:rsidTr="003F368C">
        <w:tc>
          <w:tcPr>
            <w:tcW w:w="8630" w:type="dxa"/>
            <w:gridSpan w:val="5"/>
            <w:shd w:val="clear" w:color="auto" w:fill="B8CCE4"/>
          </w:tcPr>
          <w:p w:rsidR="003F368C" w:rsidRPr="00777D28" w:rsidRDefault="00ED3C94" w:rsidP="003F368C">
            <w:pPr>
              <w:pStyle w:val="NoSpacing"/>
              <w:rPr>
                <w:rFonts w:ascii="Calibri" w:hAnsi="Calibri"/>
                <w:b/>
              </w:rPr>
            </w:pPr>
            <w:r w:rsidRPr="00A52215">
              <w:rPr>
                <w:b/>
                <w:sz w:val="22"/>
                <w:szCs w:val="22"/>
                <w:lang w:val="sq-AL"/>
              </w:rPr>
              <w:t>Literature:</w:t>
            </w:r>
          </w:p>
        </w:tc>
      </w:tr>
      <w:tr w:rsidR="003F368C" w:rsidRPr="00777D28" w:rsidTr="003F368C">
        <w:tc>
          <w:tcPr>
            <w:tcW w:w="3562" w:type="dxa"/>
            <w:gridSpan w:val="2"/>
          </w:tcPr>
          <w:p w:rsidR="003F368C" w:rsidRPr="00777D28" w:rsidRDefault="00ED3C94" w:rsidP="003F368C">
            <w:pPr>
              <w:pStyle w:val="NoSpacing"/>
              <w:rPr>
                <w:rFonts w:ascii="Calibri" w:hAnsi="Calibri"/>
                <w:b/>
              </w:rPr>
            </w:pPr>
            <w:proofErr w:type="spellStart"/>
            <w:r w:rsidRPr="00A52215">
              <w:rPr>
                <w:b/>
                <w:sz w:val="22"/>
                <w:szCs w:val="22"/>
                <w:lang w:val="sq-AL"/>
              </w:rPr>
              <w:t>Basic</w:t>
            </w:r>
            <w:proofErr w:type="spellEnd"/>
            <w:r w:rsidRPr="00A52215">
              <w:rPr>
                <w:b/>
                <w:sz w:val="22"/>
                <w:szCs w:val="22"/>
                <w:lang w:val="sq-AL"/>
              </w:rPr>
              <w:t xml:space="preserve"> literature:  </w:t>
            </w:r>
          </w:p>
        </w:tc>
        <w:tc>
          <w:tcPr>
            <w:tcW w:w="5068" w:type="dxa"/>
            <w:gridSpan w:val="3"/>
          </w:tcPr>
          <w:p w:rsidR="003F368C" w:rsidRPr="00B226E1" w:rsidRDefault="003F368C" w:rsidP="00F0202A">
            <w:r w:rsidRPr="00026F3C">
              <w:t xml:space="preserve">Mustafa, </w:t>
            </w:r>
            <w:smartTag w:uri="urn:schemas-microsoft-com:office:smarttags" w:element="place">
              <w:r w:rsidRPr="00026F3C">
                <w:t>I.</w:t>
              </w:r>
            </w:smartTag>
            <w:r w:rsidRPr="00026F3C">
              <w:t xml:space="preserve"> (2008), </w:t>
            </w:r>
            <w:proofErr w:type="spellStart"/>
            <w:r w:rsidRPr="00026F3C">
              <w:t>Menaxhmenti</w:t>
            </w:r>
            <w:proofErr w:type="spellEnd"/>
            <w:r w:rsidRPr="00026F3C">
              <w:t xml:space="preserve"> </w:t>
            </w:r>
            <w:proofErr w:type="spellStart"/>
            <w:r w:rsidRPr="00026F3C">
              <w:t>Fina</w:t>
            </w:r>
            <w:r>
              <w:t>nciar</w:t>
            </w:r>
            <w:proofErr w:type="spellEnd"/>
            <w:r>
              <w:t xml:space="preserve">, </w:t>
            </w:r>
            <w:proofErr w:type="spellStart"/>
            <w:r>
              <w:t>Prishtinë</w:t>
            </w:r>
            <w:proofErr w:type="spellEnd"/>
            <w:r w:rsidRPr="00026F3C">
              <w:t xml:space="preserve">: </w:t>
            </w:r>
            <w:proofErr w:type="spellStart"/>
            <w:r w:rsidRPr="00026F3C">
              <w:t>Riinvest</w:t>
            </w:r>
            <w:proofErr w:type="spellEnd"/>
            <w:r w:rsidRPr="00026F3C">
              <w:t>.</w:t>
            </w:r>
          </w:p>
        </w:tc>
      </w:tr>
      <w:tr w:rsidR="003F368C" w:rsidRPr="009E4EC0" w:rsidTr="003F368C">
        <w:tc>
          <w:tcPr>
            <w:tcW w:w="3562" w:type="dxa"/>
            <w:gridSpan w:val="2"/>
          </w:tcPr>
          <w:p w:rsidR="003F368C" w:rsidRPr="00777D28" w:rsidRDefault="00ED3C94" w:rsidP="003F368C">
            <w:pPr>
              <w:pStyle w:val="NoSpacing"/>
              <w:rPr>
                <w:rFonts w:ascii="Calibri" w:hAnsi="Calibri"/>
                <w:b/>
              </w:rPr>
            </w:pPr>
            <w:proofErr w:type="spellStart"/>
            <w:r w:rsidRPr="00A52215">
              <w:rPr>
                <w:b/>
                <w:sz w:val="22"/>
                <w:szCs w:val="22"/>
                <w:lang w:val="sq-AL"/>
              </w:rPr>
              <w:t>Additional</w:t>
            </w:r>
            <w:proofErr w:type="spellEnd"/>
            <w:r w:rsidRPr="00A52215">
              <w:rPr>
                <w:b/>
                <w:sz w:val="22"/>
                <w:szCs w:val="22"/>
                <w:lang w:val="sq-AL"/>
              </w:rPr>
              <w:t xml:space="preserve"> literature:  </w:t>
            </w:r>
          </w:p>
        </w:tc>
        <w:tc>
          <w:tcPr>
            <w:tcW w:w="5068" w:type="dxa"/>
            <w:gridSpan w:val="3"/>
          </w:tcPr>
          <w:p w:rsidR="003F368C" w:rsidRPr="0077533F" w:rsidRDefault="003F368C" w:rsidP="003F368C">
            <w:r w:rsidRPr="0077533F">
              <w:rPr>
                <w:sz w:val="22"/>
                <w:szCs w:val="22"/>
              </w:rPr>
              <w:t xml:space="preserve">Financial Management, Theory and Practice, Eugene F. Brigham, Michael C. </w:t>
            </w:r>
            <w:proofErr w:type="spellStart"/>
            <w:r w:rsidRPr="0077533F">
              <w:rPr>
                <w:sz w:val="22"/>
                <w:szCs w:val="22"/>
              </w:rPr>
              <w:t>Ehrhardt</w:t>
            </w:r>
            <w:proofErr w:type="spellEnd"/>
            <w:r w:rsidRPr="0077533F">
              <w:rPr>
                <w:sz w:val="22"/>
                <w:szCs w:val="22"/>
              </w:rPr>
              <w:t>, Cengage Learning, Boston, 2014</w:t>
            </w:r>
          </w:p>
          <w:p w:rsidR="003F368C" w:rsidRPr="00026F3C" w:rsidRDefault="003F368C" w:rsidP="003F368C">
            <w:pPr>
              <w:rPr>
                <w:lang w:val="de-DE"/>
              </w:rPr>
            </w:pPr>
          </w:p>
          <w:p w:rsidR="003F368C" w:rsidRPr="00026F3C" w:rsidRDefault="003F368C" w:rsidP="003F368C">
            <w:pPr>
              <w:pStyle w:val="NoSpacing"/>
              <w:rPr>
                <w:i/>
                <w:sz w:val="22"/>
                <w:szCs w:val="22"/>
                <w:lang w:val="de-DE"/>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5978"/>
      </w:tblGrid>
      <w:tr w:rsidR="00A522DE" w:rsidRPr="00777D28" w:rsidTr="00A914EC">
        <w:tc>
          <w:tcPr>
            <w:tcW w:w="8630" w:type="dxa"/>
            <w:gridSpan w:val="2"/>
            <w:shd w:val="clear" w:color="auto" w:fill="B8CCE4"/>
          </w:tcPr>
          <w:p w:rsidR="00A522DE" w:rsidRPr="00777D28" w:rsidRDefault="00A914EC" w:rsidP="002215A6">
            <w:pPr>
              <w:rPr>
                <w:rFonts w:ascii="Calibri" w:hAnsi="Calibri"/>
                <w:b/>
              </w:rPr>
            </w:pPr>
            <w:r w:rsidRPr="00A52215">
              <w:rPr>
                <w:b/>
              </w:rPr>
              <w:t>Described Learning Plan:</w:t>
            </w:r>
          </w:p>
        </w:tc>
      </w:tr>
      <w:tr w:rsidR="00A522DE" w:rsidRPr="00777D28" w:rsidTr="00A914EC">
        <w:tc>
          <w:tcPr>
            <w:tcW w:w="2652" w:type="dxa"/>
            <w:shd w:val="clear" w:color="auto" w:fill="B8CCE4"/>
          </w:tcPr>
          <w:p w:rsidR="00A522DE" w:rsidRPr="00777D28" w:rsidRDefault="00A914EC" w:rsidP="002215A6">
            <w:pPr>
              <w:rPr>
                <w:rFonts w:ascii="Calibri" w:hAnsi="Calibri"/>
                <w:b/>
              </w:rPr>
            </w:pPr>
            <w:r w:rsidRPr="00A52215">
              <w:rPr>
                <w:b/>
              </w:rPr>
              <w:t>Week</w:t>
            </w:r>
          </w:p>
        </w:tc>
        <w:tc>
          <w:tcPr>
            <w:tcW w:w="5978" w:type="dxa"/>
            <w:shd w:val="clear" w:color="auto" w:fill="B8CCE4"/>
          </w:tcPr>
          <w:p w:rsidR="00A522DE" w:rsidRPr="00777D28" w:rsidRDefault="004150B2" w:rsidP="002215A6">
            <w:pPr>
              <w:rPr>
                <w:rFonts w:ascii="Calibri" w:hAnsi="Calibri"/>
                <w:b/>
              </w:rPr>
            </w:pPr>
            <w:r w:rsidRPr="00A52215">
              <w:rPr>
                <w:b/>
              </w:rPr>
              <w:t>The lectures that will take place</w:t>
            </w:r>
          </w:p>
        </w:tc>
      </w:tr>
      <w:tr w:rsidR="00A914EC" w:rsidRPr="00777D28" w:rsidTr="00A914EC">
        <w:tc>
          <w:tcPr>
            <w:tcW w:w="2652" w:type="dxa"/>
          </w:tcPr>
          <w:p w:rsidR="00A914EC" w:rsidRPr="00A52215" w:rsidRDefault="00A914EC" w:rsidP="00A914EC">
            <w:pPr>
              <w:rPr>
                <w:b/>
                <w:sz w:val="22"/>
                <w:szCs w:val="22"/>
              </w:rPr>
            </w:pPr>
            <w:r w:rsidRPr="00A52215">
              <w:rPr>
                <w:b/>
                <w:i/>
                <w:sz w:val="22"/>
                <w:szCs w:val="22"/>
              </w:rPr>
              <w:t>First week:</w:t>
            </w:r>
          </w:p>
        </w:tc>
        <w:tc>
          <w:tcPr>
            <w:tcW w:w="5978" w:type="dxa"/>
          </w:tcPr>
          <w:p w:rsidR="00F772FE" w:rsidRDefault="00F772FE" w:rsidP="00F772FE">
            <w:r>
              <w:t>Syllabus presentation</w:t>
            </w:r>
          </w:p>
          <w:p w:rsidR="00A914EC" w:rsidRPr="0015737B" w:rsidRDefault="00A914EC" w:rsidP="00A914EC"/>
        </w:tc>
      </w:tr>
      <w:tr w:rsidR="00A914EC" w:rsidRPr="00777D28" w:rsidTr="00A914EC">
        <w:tc>
          <w:tcPr>
            <w:tcW w:w="2652" w:type="dxa"/>
          </w:tcPr>
          <w:p w:rsidR="00A914EC" w:rsidRPr="00A52215" w:rsidRDefault="00A914EC" w:rsidP="00A914EC">
            <w:pPr>
              <w:rPr>
                <w:b/>
                <w:sz w:val="22"/>
                <w:szCs w:val="22"/>
              </w:rPr>
            </w:pPr>
            <w:r w:rsidRPr="00A52215">
              <w:rPr>
                <w:b/>
                <w:i/>
                <w:sz w:val="22"/>
                <w:szCs w:val="22"/>
              </w:rPr>
              <w:t>Second week</w:t>
            </w:r>
          </w:p>
        </w:tc>
        <w:tc>
          <w:tcPr>
            <w:tcW w:w="5978" w:type="dxa"/>
          </w:tcPr>
          <w:p w:rsidR="00A914EC" w:rsidRPr="0015737B" w:rsidRDefault="00F772FE" w:rsidP="00A914EC">
            <w:r>
              <w:t>The financial environment of the firm</w:t>
            </w:r>
          </w:p>
        </w:tc>
      </w:tr>
      <w:tr w:rsidR="00A914EC" w:rsidRPr="00777D28" w:rsidTr="00F772FE">
        <w:trPr>
          <w:trHeight w:val="398"/>
        </w:trPr>
        <w:tc>
          <w:tcPr>
            <w:tcW w:w="2652" w:type="dxa"/>
          </w:tcPr>
          <w:p w:rsidR="00A914EC" w:rsidRPr="00A52215" w:rsidRDefault="00A914EC" w:rsidP="00A914EC">
            <w:pPr>
              <w:rPr>
                <w:b/>
                <w:sz w:val="22"/>
                <w:szCs w:val="22"/>
              </w:rPr>
            </w:pPr>
            <w:r w:rsidRPr="00A52215">
              <w:rPr>
                <w:b/>
                <w:sz w:val="22"/>
                <w:szCs w:val="22"/>
              </w:rPr>
              <w:t>Third week:</w:t>
            </w:r>
          </w:p>
        </w:tc>
        <w:tc>
          <w:tcPr>
            <w:tcW w:w="5978" w:type="dxa"/>
          </w:tcPr>
          <w:p w:rsidR="00F772FE" w:rsidRDefault="00F772FE" w:rsidP="00F772FE">
            <w:r>
              <w:t>Making financial decisions in the firm</w:t>
            </w:r>
          </w:p>
          <w:p w:rsidR="00A914EC" w:rsidRPr="0015737B" w:rsidRDefault="00A914EC" w:rsidP="00A914EC"/>
        </w:tc>
      </w:tr>
      <w:tr w:rsidR="00A914EC" w:rsidRPr="00777D28" w:rsidTr="00A914EC">
        <w:tc>
          <w:tcPr>
            <w:tcW w:w="2652" w:type="dxa"/>
          </w:tcPr>
          <w:p w:rsidR="00A914EC" w:rsidRPr="00A52215" w:rsidRDefault="00A914EC" w:rsidP="00A914EC">
            <w:pPr>
              <w:rPr>
                <w:b/>
                <w:sz w:val="22"/>
                <w:szCs w:val="22"/>
              </w:rPr>
            </w:pPr>
            <w:r w:rsidRPr="00A52215">
              <w:rPr>
                <w:b/>
                <w:i/>
                <w:sz w:val="22"/>
                <w:szCs w:val="22"/>
              </w:rPr>
              <w:t>Fourth week:</w:t>
            </w:r>
          </w:p>
        </w:tc>
        <w:tc>
          <w:tcPr>
            <w:tcW w:w="5978" w:type="dxa"/>
          </w:tcPr>
          <w:p w:rsidR="00F772FE" w:rsidRDefault="00F772FE" w:rsidP="00F772FE">
            <w:r>
              <w:t>Time value of money</w:t>
            </w:r>
          </w:p>
          <w:p w:rsidR="00A914EC" w:rsidRPr="0015737B" w:rsidRDefault="00A914EC" w:rsidP="00A914EC"/>
        </w:tc>
      </w:tr>
      <w:tr w:rsidR="00A914EC" w:rsidRPr="00777D28" w:rsidTr="00A914EC">
        <w:tc>
          <w:tcPr>
            <w:tcW w:w="2652" w:type="dxa"/>
          </w:tcPr>
          <w:p w:rsidR="00A914EC" w:rsidRPr="00A52215" w:rsidRDefault="00A914EC" w:rsidP="00A914EC">
            <w:pPr>
              <w:rPr>
                <w:b/>
                <w:sz w:val="22"/>
                <w:szCs w:val="22"/>
              </w:rPr>
            </w:pPr>
            <w:r w:rsidRPr="00A52215">
              <w:rPr>
                <w:b/>
                <w:i/>
                <w:sz w:val="22"/>
                <w:szCs w:val="22"/>
              </w:rPr>
              <w:t>Fifth week:</w:t>
            </w:r>
          </w:p>
        </w:tc>
        <w:tc>
          <w:tcPr>
            <w:tcW w:w="5978" w:type="dxa"/>
          </w:tcPr>
          <w:p w:rsidR="00F772FE" w:rsidRDefault="00F772FE" w:rsidP="00F772FE">
            <w:r>
              <w:t>Financial analysis</w:t>
            </w:r>
          </w:p>
          <w:p w:rsidR="00A914EC" w:rsidRPr="0015737B" w:rsidRDefault="00A914EC" w:rsidP="00A914EC"/>
        </w:tc>
      </w:tr>
      <w:tr w:rsidR="00A914EC" w:rsidRPr="00777D28" w:rsidTr="00A914EC">
        <w:tc>
          <w:tcPr>
            <w:tcW w:w="2652" w:type="dxa"/>
          </w:tcPr>
          <w:p w:rsidR="00A914EC" w:rsidRPr="00A52215" w:rsidRDefault="00A914EC" w:rsidP="00A914EC">
            <w:pPr>
              <w:rPr>
                <w:b/>
                <w:sz w:val="22"/>
                <w:szCs w:val="22"/>
              </w:rPr>
            </w:pPr>
            <w:r w:rsidRPr="00A52215">
              <w:rPr>
                <w:b/>
                <w:i/>
                <w:sz w:val="22"/>
                <w:szCs w:val="22"/>
              </w:rPr>
              <w:t>Week six :</w:t>
            </w:r>
          </w:p>
        </w:tc>
        <w:tc>
          <w:tcPr>
            <w:tcW w:w="5978" w:type="dxa"/>
          </w:tcPr>
          <w:p w:rsidR="00F772FE" w:rsidRDefault="00F772FE" w:rsidP="00F772FE">
            <w:r>
              <w:t>Financial reports</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lastRenderedPageBreak/>
              <w:t>Week Seven:</w:t>
            </w:r>
          </w:p>
        </w:tc>
        <w:tc>
          <w:tcPr>
            <w:tcW w:w="5978" w:type="dxa"/>
          </w:tcPr>
          <w:p w:rsidR="00F772FE" w:rsidRDefault="00F772FE" w:rsidP="00F772FE">
            <w:r>
              <w:t>The first test</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t>Eighth week:</w:t>
            </w:r>
          </w:p>
        </w:tc>
        <w:tc>
          <w:tcPr>
            <w:tcW w:w="5978" w:type="dxa"/>
          </w:tcPr>
          <w:p w:rsidR="00CB1D4E" w:rsidRDefault="00CB1D4E" w:rsidP="00CB1D4E">
            <w:r>
              <w:t>Financial planning</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t>Ninth week:</w:t>
            </w:r>
          </w:p>
        </w:tc>
        <w:tc>
          <w:tcPr>
            <w:tcW w:w="5978" w:type="dxa"/>
          </w:tcPr>
          <w:p w:rsidR="00CB1D4E" w:rsidRDefault="00CB1D4E" w:rsidP="00CB1D4E">
            <w:r>
              <w:t>Investments</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t>Tenth Week:</w:t>
            </w:r>
          </w:p>
        </w:tc>
        <w:tc>
          <w:tcPr>
            <w:tcW w:w="5978" w:type="dxa"/>
          </w:tcPr>
          <w:p w:rsidR="00CB1D4E" w:rsidRDefault="00CB1D4E" w:rsidP="00CB1D4E">
            <w:r>
              <w:t>Risk and its management</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t>Week Eleven:</w:t>
            </w:r>
          </w:p>
        </w:tc>
        <w:tc>
          <w:tcPr>
            <w:tcW w:w="5978" w:type="dxa"/>
          </w:tcPr>
          <w:p w:rsidR="00CB1D4E" w:rsidRDefault="00CB1D4E" w:rsidP="00CB1D4E">
            <w:r>
              <w:t>Investment diversification and portfolio risk analysis</w:t>
            </w:r>
          </w:p>
          <w:p w:rsidR="00A914EC" w:rsidRPr="0015737B" w:rsidRDefault="00A914EC" w:rsidP="00A914EC"/>
        </w:tc>
      </w:tr>
      <w:tr w:rsidR="00A914EC" w:rsidRPr="00D05580" w:rsidTr="00A914EC">
        <w:tc>
          <w:tcPr>
            <w:tcW w:w="2652" w:type="dxa"/>
          </w:tcPr>
          <w:p w:rsidR="00A914EC" w:rsidRPr="00A52215" w:rsidRDefault="00A914EC" w:rsidP="00A914EC">
            <w:pPr>
              <w:rPr>
                <w:b/>
                <w:i/>
                <w:sz w:val="22"/>
                <w:szCs w:val="22"/>
              </w:rPr>
            </w:pPr>
            <w:r w:rsidRPr="00A52215">
              <w:rPr>
                <w:b/>
                <w:i/>
                <w:sz w:val="22"/>
                <w:szCs w:val="22"/>
              </w:rPr>
              <w:t>Twelfth Week:</w:t>
            </w:r>
          </w:p>
        </w:tc>
        <w:tc>
          <w:tcPr>
            <w:tcW w:w="5978" w:type="dxa"/>
          </w:tcPr>
          <w:p w:rsidR="00CB1D4E" w:rsidRDefault="00CB1D4E" w:rsidP="00CB1D4E">
            <w:r>
              <w:t>Short term financing</w:t>
            </w:r>
          </w:p>
          <w:p w:rsidR="00A914EC" w:rsidRPr="0015737B" w:rsidRDefault="00A914EC" w:rsidP="00A914EC">
            <w:pPr>
              <w:rPr>
                <w:lang w:val="de-DE"/>
              </w:rPr>
            </w:pPr>
          </w:p>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t>Thirteenth Week:</w:t>
            </w:r>
          </w:p>
        </w:tc>
        <w:tc>
          <w:tcPr>
            <w:tcW w:w="5978" w:type="dxa"/>
          </w:tcPr>
          <w:p w:rsidR="00CB1D4E" w:rsidRDefault="00CB1D4E" w:rsidP="00CB1D4E">
            <w:r>
              <w:t>Medium term financing</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rPr>
            </w:pPr>
            <w:r w:rsidRPr="00A52215">
              <w:rPr>
                <w:b/>
                <w:i/>
                <w:sz w:val="22"/>
                <w:szCs w:val="22"/>
              </w:rPr>
              <w:t>Fourteenth Week:</w:t>
            </w:r>
          </w:p>
        </w:tc>
        <w:tc>
          <w:tcPr>
            <w:tcW w:w="5978" w:type="dxa"/>
          </w:tcPr>
          <w:p w:rsidR="00CB1D4E" w:rsidRDefault="00CB1D4E" w:rsidP="00CB1D4E">
            <w:r>
              <w:t>Second test</w:t>
            </w:r>
          </w:p>
          <w:p w:rsidR="00A914EC" w:rsidRPr="0015737B" w:rsidRDefault="00A914EC" w:rsidP="00A914EC"/>
        </w:tc>
      </w:tr>
      <w:tr w:rsidR="00A914EC" w:rsidRPr="00777D28" w:rsidTr="00A914EC">
        <w:tc>
          <w:tcPr>
            <w:tcW w:w="2652" w:type="dxa"/>
          </w:tcPr>
          <w:p w:rsidR="00A914EC" w:rsidRPr="00A52215" w:rsidRDefault="00A914EC" w:rsidP="00A914EC">
            <w:pPr>
              <w:rPr>
                <w:b/>
                <w:i/>
                <w:sz w:val="22"/>
                <w:szCs w:val="22"/>
                <w:lang w:val="sq-AL"/>
              </w:rPr>
            </w:pPr>
            <w:r w:rsidRPr="00A52215">
              <w:rPr>
                <w:b/>
                <w:i/>
                <w:sz w:val="22"/>
                <w:szCs w:val="22"/>
              </w:rPr>
              <w:t>Fifteenth week:</w:t>
            </w:r>
          </w:p>
        </w:tc>
        <w:tc>
          <w:tcPr>
            <w:tcW w:w="5978" w:type="dxa"/>
          </w:tcPr>
          <w:p w:rsidR="00BD00B2" w:rsidRDefault="00BD00B2" w:rsidP="00BD00B2">
            <w:r>
              <w:t>Long-term financing</w:t>
            </w:r>
          </w:p>
          <w:p w:rsidR="00A914EC" w:rsidRPr="0015737B" w:rsidRDefault="00A914EC" w:rsidP="00A914EC"/>
        </w:tc>
      </w:tr>
      <w:tr w:rsidR="00A914EC" w:rsidRPr="00777D28" w:rsidTr="00A914EC">
        <w:tc>
          <w:tcPr>
            <w:tcW w:w="2652" w:type="dxa"/>
          </w:tcPr>
          <w:p w:rsidR="00A914EC" w:rsidRPr="00777D28" w:rsidRDefault="00A914EC" w:rsidP="00A914EC">
            <w:pPr>
              <w:rPr>
                <w:rFonts w:ascii="Calibri" w:hAnsi="Calibri"/>
                <w:b/>
                <w:i/>
              </w:rPr>
            </w:pPr>
          </w:p>
        </w:tc>
        <w:tc>
          <w:tcPr>
            <w:tcW w:w="5978" w:type="dxa"/>
          </w:tcPr>
          <w:p w:rsidR="00BD00B2" w:rsidRDefault="00BD00B2" w:rsidP="00BD00B2">
            <w:r>
              <w:t>Final exam</w:t>
            </w:r>
          </w:p>
          <w:p w:rsidR="00A914EC" w:rsidRPr="0015737B" w:rsidRDefault="00A914EC" w:rsidP="00A914EC"/>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C4158" w:rsidRPr="009E4EC0" w:rsidTr="00644773">
        <w:tc>
          <w:tcPr>
            <w:tcW w:w="8856" w:type="dxa"/>
            <w:shd w:val="clear" w:color="auto" w:fill="B8CCE4"/>
          </w:tcPr>
          <w:p w:rsidR="005C4158" w:rsidRPr="009E4EC0" w:rsidRDefault="005C4158" w:rsidP="00644773">
            <w:pPr>
              <w:jc w:val="center"/>
              <w:rPr>
                <w:rFonts w:ascii="Calibri" w:hAnsi="Calibri"/>
                <w:b/>
                <w:lang w:val="de-DE"/>
              </w:rPr>
            </w:pPr>
          </w:p>
        </w:tc>
      </w:tr>
      <w:tr w:rsidR="00F3541C" w:rsidRPr="009E4EC0" w:rsidTr="00644773">
        <w:tc>
          <w:tcPr>
            <w:tcW w:w="8856" w:type="dxa"/>
            <w:shd w:val="clear" w:color="auto" w:fill="B8CCE4"/>
          </w:tcPr>
          <w:p w:rsidR="00F3541C" w:rsidRPr="009E4EC0" w:rsidRDefault="00B5106E" w:rsidP="00644773">
            <w:pPr>
              <w:jc w:val="center"/>
              <w:rPr>
                <w:rFonts w:ascii="Calibri" w:hAnsi="Calibri"/>
                <w:b/>
                <w:lang w:val="de-DE"/>
              </w:rPr>
            </w:pPr>
            <w:proofErr w:type="spellStart"/>
            <w:r w:rsidRPr="00A52215">
              <w:rPr>
                <w:b/>
                <w:lang w:val="sq-AL"/>
              </w:rPr>
              <w:t>Academic</w:t>
            </w:r>
            <w:proofErr w:type="spellEnd"/>
            <w:r w:rsidRPr="00A52215">
              <w:rPr>
                <w:b/>
                <w:lang w:val="sq-AL"/>
              </w:rPr>
              <w:t xml:space="preserve"> </w:t>
            </w:r>
            <w:proofErr w:type="spellStart"/>
            <w:r w:rsidRPr="00A52215">
              <w:rPr>
                <w:b/>
                <w:lang w:val="sq-AL"/>
              </w:rPr>
              <w:t>policies</w:t>
            </w:r>
            <w:proofErr w:type="spellEnd"/>
            <w:r w:rsidRPr="00A52215">
              <w:rPr>
                <w:b/>
                <w:lang w:val="sq-AL"/>
              </w:rPr>
              <w:t xml:space="preserve"> </w:t>
            </w:r>
            <w:proofErr w:type="spellStart"/>
            <w:r w:rsidRPr="00A52215">
              <w:rPr>
                <w:b/>
                <w:lang w:val="sq-AL"/>
              </w:rPr>
              <w:t>and</w:t>
            </w:r>
            <w:proofErr w:type="spellEnd"/>
            <w:r w:rsidRPr="00A52215">
              <w:rPr>
                <w:b/>
                <w:lang w:val="sq-AL"/>
              </w:rPr>
              <w:t xml:space="preserve"> </w:t>
            </w:r>
            <w:proofErr w:type="spellStart"/>
            <w:r w:rsidRPr="00A52215">
              <w:rPr>
                <w:b/>
                <w:lang w:val="sq-AL"/>
              </w:rPr>
              <w:t>rules</w:t>
            </w:r>
            <w:proofErr w:type="spellEnd"/>
            <w:r w:rsidRPr="00A52215">
              <w:rPr>
                <w:b/>
                <w:lang w:val="sq-AL"/>
              </w:rPr>
              <w:t xml:space="preserve"> </w:t>
            </w:r>
            <w:proofErr w:type="spellStart"/>
            <w:r w:rsidRPr="00A52215">
              <w:rPr>
                <w:b/>
                <w:lang w:val="sq-AL"/>
              </w:rPr>
              <w:t>of</w:t>
            </w:r>
            <w:proofErr w:type="spellEnd"/>
            <w:r w:rsidRPr="00A52215">
              <w:rPr>
                <w:b/>
                <w:lang w:val="sq-AL"/>
              </w:rPr>
              <w:t xml:space="preserve"> </w:t>
            </w:r>
            <w:proofErr w:type="spellStart"/>
            <w:r w:rsidRPr="00A52215">
              <w:rPr>
                <w:b/>
                <w:lang w:val="sq-AL"/>
              </w:rPr>
              <w:t>conduct</w:t>
            </w:r>
            <w:proofErr w:type="spellEnd"/>
          </w:p>
        </w:tc>
      </w:tr>
      <w:tr w:rsidR="00F3541C" w:rsidRPr="009E4EC0" w:rsidTr="00644773">
        <w:trPr>
          <w:trHeight w:val="1088"/>
        </w:trPr>
        <w:tc>
          <w:tcPr>
            <w:tcW w:w="8856" w:type="dxa"/>
          </w:tcPr>
          <w:p w:rsidR="00F3541C" w:rsidRPr="009E4EC0" w:rsidRDefault="00F3541C" w:rsidP="00644773">
            <w:pPr>
              <w:rPr>
                <w:rFonts w:ascii="Calibri" w:hAnsi="Calibri"/>
                <w:b/>
                <w:i/>
                <w:lang w:val="de-DE"/>
              </w:rPr>
            </w:pPr>
          </w:p>
          <w:p w:rsidR="00F3541C" w:rsidRPr="0064264F" w:rsidRDefault="00B5106E" w:rsidP="00B5106E">
            <w:pPr>
              <w:rPr>
                <w:color w:val="262626"/>
                <w:lang w:val="de-DE"/>
              </w:rPr>
            </w:pPr>
            <w:r w:rsidRPr="00A52215">
              <w:rPr>
                <w:color w:val="212121"/>
                <w:lang w:val="en"/>
              </w:rPr>
              <w:t>Regular attendance of lectures and exercises is mandatory for all students. All students are obliged to respect the rules of conduct: keeping quiet, muted mobile phones and entering the class on time</w:t>
            </w:r>
            <w:r w:rsidRPr="00A52215">
              <w:rPr>
                <w:color w:val="000000"/>
              </w:rPr>
              <w:t>.</w:t>
            </w:r>
          </w:p>
          <w:p w:rsidR="00F3541C" w:rsidRPr="009E4EC0" w:rsidRDefault="00F3541C" w:rsidP="00644773">
            <w:pPr>
              <w:rPr>
                <w:rFonts w:ascii="Calibri" w:hAnsi="Calibri"/>
                <w:b/>
                <w:i/>
                <w:lang w:val="de-DE"/>
              </w:rPr>
            </w:pPr>
          </w:p>
        </w:tc>
      </w:tr>
    </w:tbl>
    <w:p w:rsidR="00A522DE" w:rsidRPr="00D67209" w:rsidRDefault="00A522DE" w:rsidP="00A522DE">
      <w:pPr>
        <w:pStyle w:val="NoSpacing"/>
        <w:rPr>
          <w:szCs w:val="28"/>
        </w:rPr>
      </w:pPr>
    </w:p>
    <w:p w:rsidR="00A522DE" w:rsidRPr="00CF116F" w:rsidRDefault="00A522DE" w:rsidP="00A522DE">
      <w:pPr>
        <w:rPr>
          <w:rFonts w:ascii="Calibri" w:hAnsi="Calibri"/>
          <w:b/>
        </w:rPr>
      </w:pPr>
    </w:p>
    <w:p w:rsidR="00A522DE" w:rsidRPr="009E4EC0" w:rsidRDefault="00A522DE" w:rsidP="00A522DE">
      <w:pPr>
        <w:rPr>
          <w:rFonts w:ascii="Calibri" w:hAnsi="Calibri"/>
          <w:b/>
          <w:sz w:val="28"/>
          <w:szCs w:val="28"/>
          <w:lang w:val="de-DE"/>
        </w:rPr>
      </w:pPr>
    </w:p>
    <w:sectPr w:rsidR="00A522DE" w:rsidRPr="009E4EC0" w:rsidSect="00A6706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E2" w:rsidRDefault="000143E2" w:rsidP="00A67060">
      <w:r>
        <w:separator/>
      </w:r>
    </w:p>
  </w:endnote>
  <w:endnote w:type="continuationSeparator" w:id="0">
    <w:p w:rsidR="000143E2" w:rsidRDefault="000143E2" w:rsidP="00A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18" w:rsidRDefault="00C62B1A" w:rsidP="009B3F0A">
    <w:pPr>
      <w:pStyle w:val="Footer"/>
      <w:framePr w:wrap="around" w:vAnchor="text" w:hAnchor="margin" w:xAlign="right" w:y="1"/>
      <w:rPr>
        <w:rStyle w:val="PageNumber"/>
        <w:rFonts w:eastAsiaTheme="majorEastAsia"/>
      </w:rPr>
    </w:pPr>
    <w:r>
      <w:rPr>
        <w:rStyle w:val="PageNumber"/>
        <w:rFonts w:eastAsiaTheme="majorEastAsia"/>
      </w:rPr>
      <w:fldChar w:fldCharType="begin"/>
    </w:r>
    <w:r w:rsidR="00A522DE">
      <w:rPr>
        <w:rStyle w:val="PageNumber"/>
        <w:rFonts w:eastAsiaTheme="majorEastAsia"/>
      </w:rPr>
      <w:instrText xml:space="preserve">PAGE  </w:instrText>
    </w:r>
    <w:r>
      <w:rPr>
        <w:rStyle w:val="PageNumber"/>
        <w:rFonts w:eastAsiaTheme="majorEastAsia"/>
      </w:rPr>
      <w:fldChar w:fldCharType="end"/>
    </w:r>
  </w:p>
  <w:p w:rsidR="00AD3818" w:rsidRDefault="000143E2" w:rsidP="00AA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18" w:rsidRDefault="00C62B1A" w:rsidP="009B3F0A">
    <w:pPr>
      <w:pStyle w:val="Footer"/>
      <w:framePr w:wrap="around" w:vAnchor="text" w:hAnchor="margin" w:xAlign="right" w:y="1"/>
      <w:rPr>
        <w:rStyle w:val="PageNumber"/>
        <w:rFonts w:eastAsiaTheme="majorEastAsia"/>
      </w:rPr>
    </w:pPr>
    <w:r>
      <w:rPr>
        <w:rStyle w:val="PageNumber"/>
        <w:rFonts w:eastAsiaTheme="majorEastAsia"/>
      </w:rPr>
      <w:fldChar w:fldCharType="begin"/>
    </w:r>
    <w:r w:rsidR="00A522DE">
      <w:rPr>
        <w:rStyle w:val="PageNumber"/>
        <w:rFonts w:eastAsiaTheme="majorEastAsia"/>
      </w:rPr>
      <w:instrText xml:space="preserve">PAGE  </w:instrText>
    </w:r>
    <w:r>
      <w:rPr>
        <w:rStyle w:val="PageNumber"/>
        <w:rFonts w:eastAsiaTheme="majorEastAsia"/>
      </w:rPr>
      <w:fldChar w:fldCharType="separate"/>
    </w:r>
    <w:r w:rsidR="00701175">
      <w:rPr>
        <w:rStyle w:val="PageNumber"/>
        <w:rFonts w:eastAsiaTheme="majorEastAsia"/>
        <w:noProof/>
      </w:rPr>
      <w:t>3</w:t>
    </w:r>
    <w:r>
      <w:rPr>
        <w:rStyle w:val="PageNumber"/>
        <w:rFonts w:eastAsiaTheme="majorEastAsia"/>
      </w:rPr>
      <w:fldChar w:fldCharType="end"/>
    </w:r>
  </w:p>
  <w:p w:rsidR="00AD3818" w:rsidRDefault="000143E2" w:rsidP="00AA2C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E2" w:rsidRDefault="000143E2" w:rsidP="00A67060">
      <w:r>
        <w:separator/>
      </w:r>
    </w:p>
  </w:footnote>
  <w:footnote w:type="continuationSeparator" w:id="0">
    <w:p w:rsidR="000143E2" w:rsidRDefault="000143E2" w:rsidP="00A6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326F"/>
    <w:multiLevelType w:val="hybridMultilevel"/>
    <w:tmpl w:val="F77628DE"/>
    <w:lvl w:ilvl="0" w:tplc="17E2863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B70CD"/>
    <w:multiLevelType w:val="hybridMultilevel"/>
    <w:tmpl w:val="1A06C45A"/>
    <w:lvl w:ilvl="0" w:tplc="B3844E4C">
      <w:start w:val="3"/>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E1EB9"/>
    <w:multiLevelType w:val="hybridMultilevel"/>
    <w:tmpl w:val="E03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E"/>
    <w:rsid w:val="000143E2"/>
    <w:rsid w:val="0006522C"/>
    <w:rsid w:val="00087B11"/>
    <w:rsid w:val="00116403"/>
    <w:rsid w:val="0015737B"/>
    <w:rsid w:val="001B66B5"/>
    <w:rsid w:val="00201176"/>
    <w:rsid w:val="00225631"/>
    <w:rsid w:val="00235AC8"/>
    <w:rsid w:val="002A0DB4"/>
    <w:rsid w:val="002A4EEB"/>
    <w:rsid w:val="002D44E1"/>
    <w:rsid w:val="002E6EA8"/>
    <w:rsid w:val="002F41BB"/>
    <w:rsid w:val="003647A9"/>
    <w:rsid w:val="003668C4"/>
    <w:rsid w:val="003A14A6"/>
    <w:rsid w:val="003C187F"/>
    <w:rsid w:val="003F368C"/>
    <w:rsid w:val="004023DB"/>
    <w:rsid w:val="0041057C"/>
    <w:rsid w:val="004150B2"/>
    <w:rsid w:val="004324E8"/>
    <w:rsid w:val="00483E8A"/>
    <w:rsid w:val="004955CE"/>
    <w:rsid w:val="004C0A46"/>
    <w:rsid w:val="005C4158"/>
    <w:rsid w:val="00675176"/>
    <w:rsid w:val="006E3DF1"/>
    <w:rsid w:val="00701175"/>
    <w:rsid w:val="0072621F"/>
    <w:rsid w:val="0074371E"/>
    <w:rsid w:val="00755087"/>
    <w:rsid w:val="0077533F"/>
    <w:rsid w:val="00775DB7"/>
    <w:rsid w:val="008052A6"/>
    <w:rsid w:val="00824816"/>
    <w:rsid w:val="008E7149"/>
    <w:rsid w:val="0090616B"/>
    <w:rsid w:val="009425F7"/>
    <w:rsid w:val="009F3907"/>
    <w:rsid w:val="00A04692"/>
    <w:rsid w:val="00A522DE"/>
    <w:rsid w:val="00A67060"/>
    <w:rsid w:val="00A914EC"/>
    <w:rsid w:val="00AD50E5"/>
    <w:rsid w:val="00B032CF"/>
    <w:rsid w:val="00B5106E"/>
    <w:rsid w:val="00B90E41"/>
    <w:rsid w:val="00BD00B2"/>
    <w:rsid w:val="00C42941"/>
    <w:rsid w:val="00C610F0"/>
    <w:rsid w:val="00C62B1A"/>
    <w:rsid w:val="00CB1D4E"/>
    <w:rsid w:val="00D91AE6"/>
    <w:rsid w:val="00D94A80"/>
    <w:rsid w:val="00DC74C3"/>
    <w:rsid w:val="00DF6496"/>
    <w:rsid w:val="00E062B0"/>
    <w:rsid w:val="00E76B71"/>
    <w:rsid w:val="00ED3C94"/>
    <w:rsid w:val="00F0202A"/>
    <w:rsid w:val="00F32FDC"/>
    <w:rsid w:val="00F3541C"/>
    <w:rsid w:val="00F41B86"/>
    <w:rsid w:val="00F772FE"/>
    <w:rsid w:val="00FA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2CC91B6"/>
  <w15:docId w15:val="{47102865-8773-4B14-92AD-0543D87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qFormat/>
    <w:rsid w:val="004955CE"/>
    <w:pPr>
      <w:numPr>
        <w:ilvl w:val="1"/>
      </w:numPr>
    </w:pPr>
    <w:rPr>
      <w:rFonts w:ascii="Cambria Math" w:eastAsiaTheme="majorEastAsia" w:hAnsi="Cambria Math" w:cstheme="majorBidi"/>
      <w:i/>
      <w:iCs/>
      <w:color w:val="4F81BD" w:themeColor="accent1"/>
      <w:spacing w:val="15"/>
      <w:sz w:val="24"/>
      <w:szCs w:val="24"/>
    </w:rPr>
  </w:style>
  <w:style w:type="paragraph" w:styleId="Subtitle">
    <w:name w:val="Subtitle"/>
    <w:basedOn w:val="Normal"/>
    <w:next w:val="Normal"/>
    <w:link w:val="SubtitleChar"/>
    <w:uiPriority w:val="11"/>
    <w:qFormat/>
    <w:rsid w:val="004955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55CE"/>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rsid w:val="00A522DE"/>
    <w:pPr>
      <w:tabs>
        <w:tab w:val="center" w:pos="4320"/>
        <w:tab w:val="right" w:pos="8640"/>
      </w:tabs>
    </w:pPr>
  </w:style>
  <w:style w:type="character" w:customStyle="1" w:styleId="FooterChar">
    <w:name w:val="Footer Char"/>
    <w:basedOn w:val="DefaultParagraphFont"/>
    <w:link w:val="Footer"/>
    <w:rsid w:val="00A522DE"/>
    <w:rPr>
      <w:rFonts w:ascii="Times New Roman" w:eastAsia="Times New Roman" w:hAnsi="Times New Roman" w:cs="Times New Roman"/>
      <w:sz w:val="24"/>
      <w:szCs w:val="24"/>
    </w:rPr>
  </w:style>
  <w:style w:type="character" w:styleId="PageNumber">
    <w:name w:val="page number"/>
    <w:basedOn w:val="DefaultParagraphFont"/>
    <w:rsid w:val="00A522DE"/>
  </w:style>
  <w:style w:type="paragraph" w:styleId="NoSpacing">
    <w:name w:val="No Spacing"/>
    <w:uiPriority w:val="1"/>
    <w:qFormat/>
    <w:rsid w:val="00A522DE"/>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522DE"/>
    <w:pPr>
      <w:ind w:left="360"/>
    </w:pPr>
    <w:rPr>
      <w:lang w:val="sq-AL"/>
    </w:rPr>
  </w:style>
  <w:style w:type="character" w:customStyle="1" w:styleId="BodyTextIndentChar">
    <w:name w:val="Body Text Indent Char"/>
    <w:basedOn w:val="DefaultParagraphFont"/>
    <w:link w:val="BodyTextIndent"/>
    <w:rsid w:val="00A522DE"/>
    <w:rPr>
      <w:rFonts w:ascii="Times New Roman" w:eastAsia="Times New Roman" w:hAnsi="Times New Roman" w:cs="Times New Roman"/>
      <w:sz w:val="24"/>
      <w:szCs w:val="24"/>
      <w:lang w:val="sq-AL"/>
    </w:rPr>
  </w:style>
  <w:style w:type="character" w:styleId="Hyperlink">
    <w:name w:val="Hyperlink"/>
    <w:basedOn w:val="DefaultParagraphFont"/>
    <w:rsid w:val="00A522DE"/>
    <w:rPr>
      <w:color w:val="0000FF"/>
      <w:u w:val="single"/>
    </w:rPr>
  </w:style>
  <w:style w:type="paragraph" w:styleId="ListParagraph">
    <w:name w:val="List Paragraph"/>
    <w:basedOn w:val="Normal"/>
    <w:uiPriority w:val="34"/>
    <w:qFormat/>
    <w:rsid w:val="008E714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ben.dermaku@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Edona PERJUCI</cp:lastModifiedBy>
  <cp:revision>26</cp:revision>
  <dcterms:created xsi:type="dcterms:W3CDTF">2020-01-06T15:34:00Z</dcterms:created>
  <dcterms:modified xsi:type="dcterms:W3CDTF">2020-01-07T10:05:00Z</dcterms:modified>
</cp:coreProperties>
</file>