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AF4B" w14:textId="3F70B568" w:rsidR="00CA054B" w:rsidRPr="009E1F17" w:rsidRDefault="00CA054B" w:rsidP="00CA054B">
      <w:pPr>
        <w:rPr>
          <w:b/>
          <w:u w:val="single"/>
        </w:rPr>
      </w:pPr>
      <w:r w:rsidRPr="009E1F17">
        <w:rPr>
          <w:b/>
          <w:u w:val="single"/>
        </w:rPr>
        <w:t xml:space="preserve">COURSE SYLLABUS FOR </w:t>
      </w:r>
      <w:r w:rsidR="004A047C" w:rsidRPr="009E1F17">
        <w:rPr>
          <w:b/>
          <w:u w:val="single"/>
        </w:rPr>
        <w:t>MIGRATION ECONOMICS</w:t>
      </w:r>
    </w:p>
    <w:p w14:paraId="5343939B" w14:textId="77777777" w:rsidR="00CA054B" w:rsidRPr="009E1F17" w:rsidRDefault="00CA054B" w:rsidP="00CA05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1402"/>
        <w:gridCol w:w="1727"/>
        <w:gridCol w:w="1981"/>
      </w:tblGrid>
      <w:tr w:rsidR="00CA054B" w:rsidRPr="009E1F17" w14:paraId="446D3EF3" w14:textId="77777777" w:rsidTr="00D050BE">
        <w:tc>
          <w:tcPr>
            <w:tcW w:w="8856" w:type="dxa"/>
            <w:gridSpan w:val="4"/>
            <w:shd w:val="clear" w:color="auto" w:fill="B8CCE4"/>
          </w:tcPr>
          <w:p w14:paraId="62828676" w14:textId="77777777" w:rsidR="00CA054B" w:rsidRPr="009E1F17" w:rsidRDefault="00CA054B" w:rsidP="00D050BE">
            <w:pPr>
              <w:pStyle w:val="NoSpacing"/>
              <w:rPr>
                <w:b/>
                <w:lang w:val="en-GB"/>
              </w:rPr>
            </w:pPr>
            <w:r w:rsidRPr="009E1F17">
              <w:rPr>
                <w:b/>
                <w:lang w:val="en-GB"/>
              </w:rPr>
              <w:t>Basic data for the course</w:t>
            </w:r>
          </w:p>
        </w:tc>
      </w:tr>
      <w:tr w:rsidR="00CA054B" w:rsidRPr="009E1F17" w14:paraId="7D062B70" w14:textId="77777777" w:rsidTr="00D050BE">
        <w:tc>
          <w:tcPr>
            <w:tcW w:w="3617" w:type="dxa"/>
          </w:tcPr>
          <w:p w14:paraId="2E14C134" w14:textId="77777777" w:rsidR="00CA054B" w:rsidRPr="009E1F17" w:rsidRDefault="00CA054B" w:rsidP="00D050BE">
            <w:pPr>
              <w:pStyle w:val="NoSpacing"/>
              <w:rPr>
                <w:b/>
                <w:lang w:val="en-GB"/>
              </w:rPr>
            </w:pPr>
            <w:r w:rsidRPr="009E1F17">
              <w:rPr>
                <w:b/>
                <w:lang w:val="en-GB"/>
              </w:rPr>
              <w:t xml:space="preserve">Academic unit: </w:t>
            </w:r>
          </w:p>
        </w:tc>
        <w:tc>
          <w:tcPr>
            <w:tcW w:w="5239" w:type="dxa"/>
            <w:gridSpan w:val="3"/>
          </w:tcPr>
          <w:p w14:paraId="6D44A1F5" w14:textId="77777777" w:rsidR="00CA054B" w:rsidRPr="009E1F17" w:rsidRDefault="00CA054B" w:rsidP="00D050BE">
            <w:pPr>
              <w:pStyle w:val="NoSpacing"/>
              <w:rPr>
                <w:lang w:val="en-GB"/>
              </w:rPr>
            </w:pPr>
            <w:r w:rsidRPr="009E1F17">
              <w:rPr>
                <w:lang w:val="en-GB"/>
              </w:rPr>
              <w:t>Faculty of Economics</w:t>
            </w:r>
          </w:p>
        </w:tc>
      </w:tr>
      <w:tr w:rsidR="00CA054B" w:rsidRPr="009E1F17" w14:paraId="7E73B4A3" w14:textId="77777777" w:rsidTr="00D050BE">
        <w:tc>
          <w:tcPr>
            <w:tcW w:w="3617" w:type="dxa"/>
          </w:tcPr>
          <w:p w14:paraId="70BD5634" w14:textId="77777777" w:rsidR="00CA054B" w:rsidRPr="009E1F17" w:rsidRDefault="00CA054B" w:rsidP="00D050BE">
            <w:pPr>
              <w:pStyle w:val="NoSpacing"/>
              <w:rPr>
                <w:b/>
                <w:lang w:val="en-GB"/>
              </w:rPr>
            </w:pPr>
            <w:r w:rsidRPr="009E1F17">
              <w:rPr>
                <w:b/>
                <w:lang w:val="en-GB"/>
              </w:rPr>
              <w:t>Title of the course:</w:t>
            </w:r>
          </w:p>
        </w:tc>
        <w:tc>
          <w:tcPr>
            <w:tcW w:w="5239" w:type="dxa"/>
            <w:gridSpan w:val="3"/>
          </w:tcPr>
          <w:p w14:paraId="2AA10619" w14:textId="3A99B1E3" w:rsidR="00CA054B" w:rsidRPr="009E1F17" w:rsidRDefault="004A047C" w:rsidP="00D050BE">
            <w:pPr>
              <w:pStyle w:val="NoSpacing"/>
              <w:rPr>
                <w:lang w:val="en-GB"/>
              </w:rPr>
            </w:pPr>
            <w:r w:rsidRPr="009E1F17">
              <w:t>Migration Economics</w:t>
            </w:r>
          </w:p>
        </w:tc>
      </w:tr>
      <w:tr w:rsidR="00CA054B" w:rsidRPr="009E1F17" w14:paraId="21A5CC7A" w14:textId="77777777" w:rsidTr="00D050BE">
        <w:tc>
          <w:tcPr>
            <w:tcW w:w="3617" w:type="dxa"/>
          </w:tcPr>
          <w:p w14:paraId="37E5BCF6" w14:textId="77777777" w:rsidR="00CA054B" w:rsidRPr="009E1F17" w:rsidRDefault="00CA054B" w:rsidP="00D050BE">
            <w:pPr>
              <w:pStyle w:val="NoSpacing"/>
              <w:rPr>
                <w:b/>
                <w:lang w:val="en-GB"/>
              </w:rPr>
            </w:pPr>
            <w:r w:rsidRPr="009E1F17">
              <w:rPr>
                <w:b/>
                <w:lang w:val="en-GB"/>
              </w:rPr>
              <w:t>Level:</w:t>
            </w:r>
          </w:p>
        </w:tc>
        <w:tc>
          <w:tcPr>
            <w:tcW w:w="5239" w:type="dxa"/>
            <w:gridSpan w:val="3"/>
          </w:tcPr>
          <w:p w14:paraId="038F0B01" w14:textId="77777777" w:rsidR="00CA054B" w:rsidRPr="009E1F17" w:rsidRDefault="00CA054B" w:rsidP="00D050BE">
            <w:pPr>
              <w:pStyle w:val="NoSpacing"/>
              <w:rPr>
                <w:lang w:val="en-GB"/>
              </w:rPr>
            </w:pPr>
            <w:r w:rsidRPr="009E1F17">
              <w:rPr>
                <w:lang w:val="en-GB"/>
              </w:rPr>
              <w:t>Bachelor</w:t>
            </w:r>
          </w:p>
        </w:tc>
      </w:tr>
      <w:tr w:rsidR="00CA054B" w:rsidRPr="009E1F17" w14:paraId="3CD7BE58" w14:textId="77777777" w:rsidTr="00D050BE">
        <w:tc>
          <w:tcPr>
            <w:tcW w:w="3617" w:type="dxa"/>
          </w:tcPr>
          <w:p w14:paraId="70A2371D" w14:textId="77777777" w:rsidR="00CA054B" w:rsidRPr="009E1F17" w:rsidRDefault="00CA054B" w:rsidP="00D050BE">
            <w:pPr>
              <w:pStyle w:val="NoSpacing"/>
              <w:rPr>
                <w:b/>
                <w:lang w:val="en-GB"/>
              </w:rPr>
            </w:pPr>
            <w:r w:rsidRPr="009E1F17">
              <w:rPr>
                <w:b/>
                <w:lang w:val="en-GB"/>
              </w:rPr>
              <w:t>Status of the course:</w:t>
            </w:r>
          </w:p>
        </w:tc>
        <w:tc>
          <w:tcPr>
            <w:tcW w:w="5239" w:type="dxa"/>
            <w:gridSpan w:val="3"/>
          </w:tcPr>
          <w:p w14:paraId="1A2948BA" w14:textId="773E7A18" w:rsidR="00CA054B" w:rsidRPr="009E1F17" w:rsidRDefault="004A047C" w:rsidP="00D050BE">
            <w:pPr>
              <w:pStyle w:val="NoSpacing"/>
              <w:rPr>
                <w:lang w:val="en-GB"/>
              </w:rPr>
            </w:pPr>
            <w:r w:rsidRPr="009E1F17">
              <w:rPr>
                <w:lang w:val="en-GB"/>
              </w:rPr>
              <w:t>Elective</w:t>
            </w:r>
          </w:p>
        </w:tc>
      </w:tr>
      <w:tr w:rsidR="00CA054B" w:rsidRPr="009E1F17" w14:paraId="5C870BC1" w14:textId="77777777" w:rsidTr="00D050BE">
        <w:tc>
          <w:tcPr>
            <w:tcW w:w="3617" w:type="dxa"/>
          </w:tcPr>
          <w:p w14:paraId="3BAE0757" w14:textId="77777777" w:rsidR="00CA054B" w:rsidRPr="009E1F17" w:rsidRDefault="00CA054B" w:rsidP="00D050BE">
            <w:pPr>
              <w:pStyle w:val="NoSpacing"/>
              <w:rPr>
                <w:b/>
                <w:lang w:val="en-GB"/>
              </w:rPr>
            </w:pPr>
            <w:r w:rsidRPr="009E1F17">
              <w:rPr>
                <w:b/>
                <w:lang w:val="en-GB"/>
              </w:rPr>
              <w:t>Year of studies:</w:t>
            </w:r>
          </w:p>
        </w:tc>
        <w:tc>
          <w:tcPr>
            <w:tcW w:w="5239" w:type="dxa"/>
            <w:gridSpan w:val="3"/>
          </w:tcPr>
          <w:p w14:paraId="1E5C787D" w14:textId="0B40E317" w:rsidR="00CA054B" w:rsidRPr="009E1F17" w:rsidRDefault="004A047C" w:rsidP="00D050BE">
            <w:pPr>
              <w:pStyle w:val="NoSpacing"/>
              <w:rPr>
                <w:lang w:val="en-GB"/>
              </w:rPr>
            </w:pPr>
            <w:r w:rsidRPr="009E1F17">
              <w:rPr>
                <w:lang w:val="en-GB"/>
              </w:rPr>
              <w:t>3</w:t>
            </w:r>
            <w:r w:rsidRPr="009E1F17">
              <w:rPr>
                <w:vertAlign w:val="superscript"/>
                <w:lang w:val="en-GB"/>
              </w:rPr>
              <w:t>rd</w:t>
            </w:r>
            <w:r w:rsidRPr="009E1F17">
              <w:rPr>
                <w:lang w:val="en-GB"/>
              </w:rPr>
              <w:t xml:space="preserve"> Year, 5</w:t>
            </w:r>
            <w:r w:rsidRPr="009E1F17">
              <w:rPr>
                <w:vertAlign w:val="superscript"/>
                <w:lang w:val="en-GB"/>
              </w:rPr>
              <w:t>th</w:t>
            </w:r>
            <w:r w:rsidR="00CA054B" w:rsidRPr="009E1F17">
              <w:rPr>
                <w:lang w:val="en-GB"/>
              </w:rPr>
              <w:t xml:space="preserve"> Semester</w:t>
            </w:r>
          </w:p>
        </w:tc>
      </w:tr>
      <w:tr w:rsidR="00CA054B" w:rsidRPr="009E1F17" w14:paraId="49AB1337" w14:textId="77777777" w:rsidTr="00D050BE">
        <w:tc>
          <w:tcPr>
            <w:tcW w:w="3617" w:type="dxa"/>
          </w:tcPr>
          <w:p w14:paraId="43DADBBB" w14:textId="2B26D187" w:rsidR="00CA054B" w:rsidRPr="009E1F17" w:rsidRDefault="00CA054B" w:rsidP="00D050BE">
            <w:pPr>
              <w:pStyle w:val="NoSpacing"/>
              <w:rPr>
                <w:b/>
                <w:lang w:val="en-GB"/>
              </w:rPr>
            </w:pPr>
            <w:r w:rsidRPr="009E1F17">
              <w:rPr>
                <w:b/>
                <w:lang w:val="en-GB"/>
              </w:rPr>
              <w:t>Number of hours per week:</w:t>
            </w:r>
          </w:p>
        </w:tc>
        <w:tc>
          <w:tcPr>
            <w:tcW w:w="5239" w:type="dxa"/>
            <w:gridSpan w:val="3"/>
          </w:tcPr>
          <w:p w14:paraId="3E2C6EFF" w14:textId="5B3EF1E5" w:rsidR="00CA054B" w:rsidRPr="009E1F17" w:rsidRDefault="00D050BE" w:rsidP="00D95EC2">
            <w:pPr>
              <w:pStyle w:val="NoSpacing"/>
              <w:rPr>
                <w:lang w:val="en-GB"/>
              </w:rPr>
            </w:pPr>
            <w:r w:rsidRPr="009E1F17">
              <w:rPr>
                <w:lang w:val="en-GB"/>
              </w:rPr>
              <w:t>2+</w:t>
            </w:r>
            <w:r w:rsidR="00D95EC2">
              <w:rPr>
                <w:lang w:val="en-GB"/>
              </w:rPr>
              <w:t>0</w:t>
            </w:r>
          </w:p>
        </w:tc>
      </w:tr>
      <w:tr w:rsidR="00CA054B" w:rsidRPr="009E1F17" w14:paraId="22CEEE75" w14:textId="77777777" w:rsidTr="00D050BE">
        <w:tc>
          <w:tcPr>
            <w:tcW w:w="3617" w:type="dxa"/>
          </w:tcPr>
          <w:p w14:paraId="430CF202" w14:textId="77777777" w:rsidR="00CA054B" w:rsidRPr="009E1F17" w:rsidRDefault="00CA054B" w:rsidP="00D050BE">
            <w:pPr>
              <w:pStyle w:val="NoSpacing"/>
              <w:rPr>
                <w:b/>
                <w:lang w:val="en-GB"/>
              </w:rPr>
            </w:pPr>
            <w:r w:rsidRPr="009E1F17">
              <w:rPr>
                <w:b/>
                <w:lang w:val="en-GB"/>
              </w:rPr>
              <w:t>ECTS credits:</w:t>
            </w:r>
          </w:p>
        </w:tc>
        <w:tc>
          <w:tcPr>
            <w:tcW w:w="5239" w:type="dxa"/>
            <w:gridSpan w:val="3"/>
          </w:tcPr>
          <w:p w14:paraId="62AD0613" w14:textId="54D3C93C" w:rsidR="00CA054B" w:rsidRPr="009E1F17" w:rsidRDefault="00D95EC2" w:rsidP="00D050BE">
            <w:pPr>
              <w:pStyle w:val="NoSpacing"/>
              <w:rPr>
                <w:lang w:val="en-GB"/>
              </w:rPr>
            </w:pPr>
            <w:r>
              <w:rPr>
                <w:lang w:val="en-GB"/>
              </w:rPr>
              <w:t>4</w:t>
            </w:r>
          </w:p>
        </w:tc>
      </w:tr>
      <w:tr w:rsidR="00CA054B" w:rsidRPr="009E1F17" w14:paraId="23F3646B" w14:textId="77777777" w:rsidTr="00D050BE">
        <w:tc>
          <w:tcPr>
            <w:tcW w:w="3617" w:type="dxa"/>
          </w:tcPr>
          <w:p w14:paraId="779EB307" w14:textId="77777777" w:rsidR="00CA054B" w:rsidRPr="009E1F17" w:rsidRDefault="00CA054B" w:rsidP="00D050BE">
            <w:pPr>
              <w:pStyle w:val="NoSpacing"/>
              <w:rPr>
                <w:b/>
                <w:lang w:val="en-GB"/>
              </w:rPr>
            </w:pPr>
            <w:r w:rsidRPr="009E1F17">
              <w:rPr>
                <w:b/>
                <w:lang w:val="en-GB"/>
              </w:rPr>
              <w:t>Time/location:</w:t>
            </w:r>
          </w:p>
        </w:tc>
        <w:tc>
          <w:tcPr>
            <w:tcW w:w="5239" w:type="dxa"/>
            <w:gridSpan w:val="3"/>
          </w:tcPr>
          <w:p w14:paraId="1E46FA0C" w14:textId="77777777" w:rsidR="00CA054B" w:rsidRPr="009E1F17" w:rsidRDefault="00CA054B" w:rsidP="00D050BE">
            <w:pPr>
              <w:pStyle w:val="NoSpacing"/>
              <w:rPr>
                <w:lang w:val="en-GB"/>
              </w:rPr>
            </w:pPr>
            <w:r w:rsidRPr="009E1F17">
              <w:rPr>
                <w:lang w:val="en-GB"/>
              </w:rPr>
              <w:t>TBD</w:t>
            </w:r>
          </w:p>
        </w:tc>
      </w:tr>
      <w:tr w:rsidR="00CA054B" w:rsidRPr="009E1F17" w14:paraId="4F2CB711" w14:textId="77777777" w:rsidTr="00D050BE">
        <w:tc>
          <w:tcPr>
            <w:tcW w:w="3617" w:type="dxa"/>
          </w:tcPr>
          <w:p w14:paraId="4B603057" w14:textId="77777777" w:rsidR="00CA054B" w:rsidRPr="009E1F17" w:rsidRDefault="00CA054B" w:rsidP="00D050BE">
            <w:pPr>
              <w:pStyle w:val="NoSpacing"/>
              <w:rPr>
                <w:b/>
                <w:lang w:val="en-GB"/>
              </w:rPr>
            </w:pPr>
            <w:r w:rsidRPr="009E1F17">
              <w:rPr>
                <w:b/>
                <w:lang w:val="en-GB"/>
              </w:rPr>
              <w:t>Tutor:</w:t>
            </w:r>
          </w:p>
        </w:tc>
        <w:tc>
          <w:tcPr>
            <w:tcW w:w="5239" w:type="dxa"/>
            <w:gridSpan w:val="3"/>
          </w:tcPr>
          <w:p w14:paraId="442B60C8" w14:textId="77777777" w:rsidR="00CA054B" w:rsidRPr="009E1F17" w:rsidRDefault="00CA054B" w:rsidP="00D050BE">
            <w:pPr>
              <w:pStyle w:val="NoSpacing"/>
              <w:rPr>
                <w:lang w:val="en-GB"/>
              </w:rPr>
            </w:pPr>
            <w:r w:rsidRPr="009E1F17">
              <w:rPr>
                <w:lang w:val="en-GB"/>
              </w:rPr>
              <w:t>Prof. Ass. Dr. Mrika Kotorri</w:t>
            </w:r>
          </w:p>
        </w:tc>
      </w:tr>
      <w:tr w:rsidR="00CA054B" w:rsidRPr="009E1F17" w14:paraId="4B567E81" w14:textId="77777777" w:rsidTr="00D050BE">
        <w:tc>
          <w:tcPr>
            <w:tcW w:w="3617" w:type="dxa"/>
          </w:tcPr>
          <w:p w14:paraId="0177DBEC" w14:textId="77777777" w:rsidR="00CA054B" w:rsidRPr="009E1F17" w:rsidRDefault="00CA054B" w:rsidP="00D050BE">
            <w:pPr>
              <w:pStyle w:val="NoSpacing"/>
              <w:rPr>
                <w:b/>
                <w:lang w:val="en-GB"/>
              </w:rPr>
            </w:pPr>
            <w:r w:rsidRPr="009E1F17">
              <w:rPr>
                <w:b/>
                <w:lang w:val="en-GB"/>
              </w:rPr>
              <w:t xml:space="preserve">Tutor’s contact details: </w:t>
            </w:r>
          </w:p>
        </w:tc>
        <w:tc>
          <w:tcPr>
            <w:tcW w:w="5239" w:type="dxa"/>
            <w:gridSpan w:val="3"/>
          </w:tcPr>
          <w:p w14:paraId="6E3CB0EB" w14:textId="77777777" w:rsidR="00CA054B" w:rsidRPr="009E1F17" w:rsidRDefault="00CA054B" w:rsidP="00D050BE">
            <w:pPr>
              <w:pStyle w:val="NoSpacing"/>
              <w:rPr>
                <w:lang w:val="en-GB"/>
              </w:rPr>
            </w:pPr>
            <w:r w:rsidRPr="009E1F17">
              <w:rPr>
                <w:lang w:val="en-GB"/>
              </w:rPr>
              <w:t>Faculty of Economics, UP, Floor VI, Office 80</w:t>
            </w:r>
          </w:p>
          <w:p w14:paraId="5354A1ED" w14:textId="77777777" w:rsidR="004A047C" w:rsidRPr="009E1F17" w:rsidRDefault="00CA054B" w:rsidP="00D050BE">
            <w:pPr>
              <w:pStyle w:val="NoSpacing"/>
            </w:pPr>
            <w:r w:rsidRPr="009E1F17">
              <w:rPr>
                <w:lang w:val="en-GB"/>
              </w:rPr>
              <w:t xml:space="preserve">Email: </w:t>
            </w:r>
            <w:hyperlink r:id="rId7" w:history="1">
              <w:r w:rsidRPr="009E1F17">
                <w:rPr>
                  <w:rStyle w:val="Hyperlink"/>
                </w:rPr>
                <w:t>mrika.kotorri@uni-pr.edu</w:t>
              </w:r>
            </w:hyperlink>
            <w:r w:rsidRPr="009E1F17">
              <w:t xml:space="preserve">; </w:t>
            </w:r>
            <w:hyperlink r:id="rId8" w:history="1">
              <w:r w:rsidRPr="009E1F17">
                <w:rPr>
                  <w:rStyle w:val="Hyperlink"/>
                </w:rPr>
                <w:t>mrika.kotorri@gmail.com</w:t>
              </w:r>
            </w:hyperlink>
            <w:r w:rsidRPr="009E1F17">
              <w:t xml:space="preserve"> </w:t>
            </w:r>
          </w:p>
          <w:p w14:paraId="295C0C74" w14:textId="31AC11AE" w:rsidR="00CA054B" w:rsidRPr="009E1F17" w:rsidRDefault="004A047C" w:rsidP="00D050BE">
            <w:pPr>
              <w:pStyle w:val="NoSpacing"/>
              <w:rPr>
                <w:lang w:val="en-GB"/>
              </w:rPr>
            </w:pPr>
            <w:r w:rsidRPr="009E1F17">
              <w:t>Office Hours: MW 11:00-13:00</w:t>
            </w:r>
            <w:r w:rsidR="00CA054B" w:rsidRPr="009E1F17">
              <w:tab/>
            </w:r>
          </w:p>
        </w:tc>
      </w:tr>
      <w:tr w:rsidR="00CA054B" w:rsidRPr="009E1F17" w14:paraId="40C68D1F" w14:textId="77777777" w:rsidTr="00D050BE">
        <w:tc>
          <w:tcPr>
            <w:tcW w:w="8856" w:type="dxa"/>
            <w:gridSpan w:val="4"/>
            <w:shd w:val="clear" w:color="auto" w:fill="B8CCE4"/>
          </w:tcPr>
          <w:p w14:paraId="503FF5D3" w14:textId="77777777" w:rsidR="00CA054B" w:rsidRPr="009E1F17" w:rsidRDefault="00CA054B" w:rsidP="00D050BE">
            <w:pPr>
              <w:pStyle w:val="NoSpacing"/>
              <w:rPr>
                <w:lang w:val="en-GB"/>
              </w:rPr>
            </w:pPr>
          </w:p>
        </w:tc>
      </w:tr>
      <w:tr w:rsidR="00CA054B" w:rsidRPr="009E1F17" w14:paraId="13EC2030" w14:textId="77777777" w:rsidTr="00D050BE">
        <w:tc>
          <w:tcPr>
            <w:tcW w:w="3617" w:type="dxa"/>
          </w:tcPr>
          <w:p w14:paraId="1C20C690" w14:textId="77777777" w:rsidR="00CA054B" w:rsidRPr="009E1F17" w:rsidRDefault="00CA054B" w:rsidP="00D050BE">
            <w:pPr>
              <w:pStyle w:val="NoSpacing"/>
              <w:rPr>
                <w:b/>
                <w:lang w:val="en-GB"/>
              </w:rPr>
            </w:pPr>
            <w:r w:rsidRPr="009E1F17">
              <w:rPr>
                <w:b/>
              </w:rPr>
              <w:t>Content of the course</w:t>
            </w:r>
          </w:p>
        </w:tc>
        <w:tc>
          <w:tcPr>
            <w:tcW w:w="5239" w:type="dxa"/>
            <w:gridSpan w:val="3"/>
          </w:tcPr>
          <w:p w14:paraId="306E5629" w14:textId="37920D52" w:rsidR="00CA054B" w:rsidRPr="009E1F17" w:rsidRDefault="004A047C" w:rsidP="004A047C">
            <w:pPr>
              <w:jc w:val="both"/>
            </w:pPr>
            <w:r w:rsidRPr="009E1F17">
              <w:t xml:space="preserve">This course aims to introduce students to the research on the economic determinants of migration (including emigration, return migration and circular migration) and its impacts from the perspective of the home country socio-economic development (including poverty reduction, unemployment reduction, human capital formation, entrepreneurship development, urban planning improvements). </w:t>
            </w:r>
          </w:p>
        </w:tc>
      </w:tr>
      <w:tr w:rsidR="00CA054B" w:rsidRPr="009E1F17" w14:paraId="0F40ABB3" w14:textId="77777777" w:rsidTr="00D050BE">
        <w:tc>
          <w:tcPr>
            <w:tcW w:w="3617" w:type="dxa"/>
          </w:tcPr>
          <w:p w14:paraId="649B9B3D" w14:textId="77777777" w:rsidR="00CA054B" w:rsidRPr="009E1F17" w:rsidRDefault="00CA054B" w:rsidP="00D050BE">
            <w:pPr>
              <w:pStyle w:val="NoSpacing"/>
              <w:rPr>
                <w:b/>
                <w:lang w:val="en-GB"/>
              </w:rPr>
            </w:pPr>
            <w:r w:rsidRPr="009E1F17">
              <w:rPr>
                <w:b/>
              </w:rPr>
              <w:t>Course’s objectives</w:t>
            </w:r>
            <w:r w:rsidRPr="009E1F17">
              <w:rPr>
                <w:b/>
                <w:lang w:val="en-GB"/>
              </w:rPr>
              <w:t>:</w:t>
            </w:r>
          </w:p>
        </w:tc>
        <w:tc>
          <w:tcPr>
            <w:tcW w:w="5239" w:type="dxa"/>
            <w:gridSpan w:val="3"/>
          </w:tcPr>
          <w:p w14:paraId="5BBE7661" w14:textId="77777777" w:rsidR="004A047C" w:rsidRPr="009E1F17" w:rsidRDefault="004A047C" w:rsidP="004A047C">
            <w:pPr>
              <w:pStyle w:val="ListParagraph"/>
              <w:numPr>
                <w:ilvl w:val="0"/>
                <w:numId w:val="11"/>
              </w:numPr>
              <w:jc w:val="both"/>
            </w:pPr>
            <w:r w:rsidRPr="009E1F17">
              <w:t xml:space="preserve">Present and discuss the methodology economists use to inform policy makers in the field of migration economics. </w:t>
            </w:r>
          </w:p>
          <w:p w14:paraId="7FF6BC5C" w14:textId="77777777" w:rsidR="004A047C" w:rsidRPr="009E1F17" w:rsidRDefault="004A047C" w:rsidP="004A047C">
            <w:pPr>
              <w:pStyle w:val="ListParagraph"/>
              <w:numPr>
                <w:ilvl w:val="0"/>
                <w:numId w:val="11"/>
              </w:numPr>
              <w:jc w:val="both"/>
            </w:pPr>
            <w:r w:rsidRPr="009E1F17">
              <w:t xml:space="preserve">Use economic thought and analysis to evaluate a variety of issues in this area. </w:t>
            </w:r>
          </w:p>
          <w:p w14:paraId="28C10099" w14:textId="4A575363" w:rsidR="00CA054B" w:rsidRPr="009E1F17" w:rsidRDefault="004A047C" w:rsidP="004A047C">
            <w:pPr>
              <w:pStyle w:val="ListParagraph"/>
              <w:numPr>
                <w:ilvl w:val="0"/>
                <w:numId w:val="11"/>
              </w:numPr>
              <w:jc w:val="both"/>
            </w:pPr>
            <w:r w:rsidRPr="009E1F17">
              <w:t>Discuss the interdisciplinary aspects of managing migration.</w:t>
            </w:r>
          </w:p>
        </w:tc>
      </w:tr>
      <w:tr w:rsidR="00CA054B" w:rsidRPr="009E1F17" w14:paraId="721E4C81" w14:textId="77777777" w:rsidTr="00D050BE">
        <w:tc>
          <w:tcPr>
            <w:tcW w:w="3617" w:type="dxa"/>
          </w:tcPr>
          <w:p w14:paraId="3F07BBC2" w14:textId="77777777" w:rsidR="00CA054B" w:rsidRPr="009E1F17" w:rsidRDefault="00CA054B" w:rsidP="00D050BE">
            <w:pPr>
              <w:pStyle w:val="NoSpacing"/>
              <w:rPr>
                <w:b/>
                <w:lang w:val="en-GB"/>
              </w:rPr>
            </w:pPr>
            <w:r w:rsidRPr="009E1F17">
              <w:rPr>
                <w:b/>
              </w:rPr>
              <w:t>The expected outcomes</w:t>
            </w:r>
            <w:r w:rsidRPr="009E1F17">
              <w:rPr>
                <w:b/>
                <w:lang w:val="en-GB"/>
              </w:rPr>
              <w:t>:</w:t>
            </w:r>
          </w:p>
        </w:tc>
        <w:tc>
          <w:tcPr>
            <w:tcW w:w="5239" w:type="dxa"/>
            <w:gridSpan w:val="3"/>
          </w:tcPr>
          <w:p w14:paraId="5225DAC4" w14:textId="77777777" w:rsidR="004A047C" w:rsidRPr="009E1F17" w:rsidRDefault="004A047C" w:rsidP="004A047C">
            <w:pPr>
              <w:jc w:val="both"/>
            </w:pPr>
            <w:r w:rsidRPr="009E1F17">
              <w:t>Students will learn to:</w:t>
            </w:r>
          </w:p>
          <w:p w14:paraId="11465FA8" w14:textId="53864CD6" w:rsidR="004A047C" w:rsidRPr="009E1F17" w:rsidRDefault="004A047C" w:rsidP="004A047C">
            <w:pPr>
              <w:pStyle w:val="NormalWeb"/>
              <w:numPr>
                <w:ilvl w:val="0"/>
                <w:numId w:val="5"/>
              </w:numPr>
              <w:ind w:left="523" w:hanging="450"/>
              <w:rPr>
                <w:sz w:val="24"/>
                <w:szCs w:val="24"/>
              </w:rPr>
            </w:pPr>
            <w:r w:rsidRPr="009E1F17">
              <w:rPr>
                <w:sz w:val="24"/>
                <w:szCs w:val="24"/>
              </w:rPr>
              <w:t xml:space="preserve">Understand the the most challenging issues regarding migration; </w:t>
            </w:r>
          </w:p>
          <w:p w14:paraId="53D06A53" w14:textId="1368965D" w:rsidR="004A047C" w:rsidRPr="009E1F17" w:rsidRDefault="004A047C" w:rsidP="004A047C">
            <w:pPr>
              <w:pStyle w:val="NormalWeb"/>
              <w:numPr>
                <w:ilvl w:val="0"/>
                <w:numId w:val="5"/>
              </w:numPr>
              <w:ind w:left="523" w:hanging="450"/>
              <w:rPr>
                <w:sz w:val="24"/>
                <w:szCs w:val="24"/>
              </w:rPr>
            </w:pPr>
            <w:r w:rsidRPr="009E1F17">
              <w:rPr>
                <w:sz w:val="24"/>
                <w:szCs w:val="24"/>
              </w:rPr>
              <w:t xml:space="preserve">Critically analyse economic theories of population and how these can help analyse and develop relevant policies; </w:t>
            </w:r>
          </w:p>
          <w:p w14:paraId="7D8BD820" w14:textId="494FD0CB" w:rsidR="004A047C" w:rsidRPr="009E1F17" w:rsidRDefault="004A047C" w:rsidP="004A047C">
            <w:pPr>
              <w:pStyle w:val="NormalWeb"/>
              <w:numPr>
                <w:ilvl w:val="0"/>
                <w:numId w:val="5"/>
              </w:numPr>
              <w:ind w:left="523" w:hanging="450"/>
              <w:rPr>
                <w:sz w:val="24"/>
                <w:szCs w:val="24"/>
              </w:rPr>
            </w:pPr>
            <w:r w:rsidRPr="009E1F17">
              <w:rPr>
                <w:sz w:val="24"/>
                <w:szCs w:val="24"/>
              </w:rPr>
              <w:t>Critically analyse the impact of migration, including emigration, return migration and circular migration from the perspective of the economic development of the home country;</w:t>
            </w:r>
          </w:p>
          <w:p w14:paraId="78EF4BFE" w14:textId="0FE9A8F9" w:rsidR="004A047C" w:rsidRPr="009E1F17" w:rsidRDefault="004A047C" w:rsidP="004A047C">
            <w:pPr>
              <w:pStyle w:val="NormalWeb"/>
              <w:numPr>
                <w:ilvl w:val="0"/>
                <w:numId w:val="5"/>
              </w:numPr>
              <w:ind w:left="523" w:hanging="450"/>
              <w:rPr>
                <w:sz w:val="24"/>
                <w:szCs w:val="24"/>
              </w:rPr>
            </w:pPr>
            <w:r w:rsidRPr="009E1F17">
              <w:rPr>
                <w:sz w:val="24"/>
                <w:szCs w:val="24"/>
              </w:rPr>
              <w:t xml:space="preserve">Critically analyse the current migration challenges facing Kosova; </w:t>
            </w:r>
          </w:p>
          <w:p w14:paraId="0F433F98" w14:textId="40C63BEF" w:rsidR="004A047C" w:rsidRPr="009E1F17" w:rsidRDefault="004A047C" w:rsidP="004A047C">
            <w:pPr>
              <w:pStyle w:val="NormalWeb"/>
              <w:numPr>
                <w:ilvl w:val="0"/>
                <w:numId w:val="5"/>
              </w:numPr>
              <w:ind w:left="523" w:hanging="450"/>
              <w:rPr>
                <w:sz w:val="24"/>
                <w:szCs w:val="24"/>
              </w:rPr>
            </w:pPr>
            <w:r w:rsidRPr="009E1F17">
              <w:rPr>
                <w:sz w:val="24"/>
                <w:szCs w:val="24"/>
              </w:rPr>
              <w:lastRenderedPageBreak/>
              <w:t xml:space="preserve">Critically analyse the impact of EU labour market policies on Kosova migration; </w:t>
            </w:r>
          </w:p>
          <w:p w14:paraId="21EB687C" w14:textId="7162A7FC" w:rsidR="004A047C" w:rsidRPr="009E1F17" w:rsidRDefault="004A047C" w:rsidP="004A047C">
            <w:pPr>
              <w:pStyle w:val="ListParagraph"/>
              <w:numPr>
                <w:ilvl w:val="0"/>
                <w:numId w:val="5"/>
              </w:numPr>
              <w:ind w:left="523" w:hanging="450"/>
              <w:jc w:val="both"/>
            </w:pPr>
            <w:r w:rsidRPr="009E1F17">
              <w:t>Critically analyse theoretical and empirical approaches of investigating economic and social consequences of migration;</w:t>
            </w:r>
          </w:p>
          <w:p w14:paraId="60532E26" w14:textId="0FFC03AE" w:rsidR="00CA054B" w:rsidRPr="009E1F17" w:rsidRDefault="00CA054B" w:rsidP="004A047C">
            <w:pPr>
              <w:shd w:val="clear" w:color="auto" w:fill="FFFFFF"/>
              <w:ind w:left="360"/>
              <w:jc w:val="both"/>
              <w:rPr>
                <w:lang w:val="en-US"/>
              </w:rPr>
            </w:pPr>
          </w:p>
        </w:tc>
      </w:tr>
      <w:tr w:rsidR="00CA054B" w:rsidRPr="009E1F17" w14:paraId="6948B918" w14:textId="77777777" w:rsidTr="00D050BE">
        <w:tc>
          <w:tcPr>
            <w:tcW w:w="8856" w:type="dxa"/>
            <w:gridSpan w:val="4"/>
            <w:shd w:val="clear" w:color="auto" w:fill="B8CCE4"/>
          </w:tcPr>
          <w:p w14:paraId="0F69F5DD" w14:textId="77777777" w:rsidR="00CA054B" w:rsidRPr="009E1F17" w:rsidRDefault="00CA054B" w:rsidP="00D050BE">
            <w:pPr>
              <w:jc w:val="center"/>
              <w:rPr>
                <w:b/>
                <w:i/>
              </w:rPr>
            </w:pPr>
            <w:r w:rsidRPr="009E1F17">
              <w:rPr>
                <w:b/>
              </w:rPr>
              <w:lastRenderedPageBreak/>
              <w:t xml:space="preserve">The students’ workload </w:t>
            </w:r>
            <w:r w:rsidRPr="009E1F17">
              <w:rPr>
                <w:b/>
                <w:i/>
              </w:rPr>
              <w:t>(hours per semester, ECTS)</w:t>
            </w:r>
          </w:p>
          <w:p w14:paraId="6F09E2A5" w14:textId="77777777" w:rsidR="00CA054B" w:rsidRPr="009E1F17" w:rsidRDefault="00CA054B" w:rsidP="00D050BE">
            <w:pPr>
              <w:pStyle w:val="NoSpacing"/>
              <w:jc w:val="center"/>
              <w:rPr>
                <w:b/>
                <w:lang w:val="en-GB"/>
              </w:rPr>
            </w:pPr>
          </w:p>
        </w:tc>
      </w:tr>
      <w:tr w:rsidR="00CA054B" w:rsidRPr="009E1F17" w14:paraId="5CC6DCC5" w14:textId="77777777" w:rsidTr="00D050BE">
        <w:tc>
          <w:tcPr>
            <w:tcW w:w="3617" w:type="dxa"/>
            <w:tcBorders>
              <w:right w:val="single" w:sz="4" w:space="0" w:color="auto"/>
            </w:tcBorders>
            <w:shd w:val="clear" w:color="auto" w:fill="B8CCE4"/>
          </w:tcPr>
          <w:p w14:paraId="25F1AFF4" w14:textId="77777777" w:rsidR="00CA054B" w:rsidRPr="009E1F17" w:rsidRDefault="00CA054B" w:rsidP="00D050BE">
            <w:pPr>
              <w:rPr>
                <w:b/>
              </w:rPr>
            </w:pPr>
            <w:r w:rsidRPr="009E1F17">
              <w:rPr>
                <w:b/>
              </w:rPr>
              <w:t>Activity</w:t>
            </w:r>
          </w:p>
        </w:tc>
        <w:tc>
          <w:tcPr>
            <w:tcW w:w="1425" w:type="dxa"/>
            <w:tcBorders>
              <w:left w:val="single" w:sz="4" w:space="0" w:color="auto"/>
              <w:right w:val="single" w:sz="4" w:space="0" w:color="auto"/>
            </w:tcBorders>
            <w:shd w:val="clear" w:color="auto" w:fill="B8CCE4"/>
          </w:tcPr>
          <w:p w14:paraId="43F7DC23" w14:textId="77777777" w:rsidR="00CA054B" w:rsidRPr="009E1F17" w:rsidRDefault="00CA054B" w:rsidP="00D050BE">
            <w:pPr>
              <w:rPr>
                <w:b/>
              </w:rPr>
            </w:pPr>
            <w:r w:rsidRPr="009E1F17">
              <w:rPr>
                <w:b/>
              </w:rPr>
              <w:t>Weeks</w:t>
            </w:r>
          </w:p>
        </w:tc>
        <w:tc>
          <w:tcPr>
            <w:tcW w:w="1770" w:type="dxa"/>
            <w:tcBorders>
              <w:left w:val="single" w:sz="4" w:space="0" w:color="auto"/>
              <w:right w:val="single" w:sz="4" w:space="0" w:color="auto"/>
            </w:tcBorders>
            <w:shd w:val="clear" w:color="auto" w:fill="B8CCE4"/>
          </w:tcPr>
          <w:p w14:paraId="16C502E9" w14:textId="77777777" w:rsidR="00CA054B" w:rsidRPr="009E1F17" w:rsidRDefault="00CA054B" w:rsidP="00D050BE">
            <w:pPr>
              <w:rPr>
                <w:b/>
              </w:rPr>
            </w:pPr>
            <w:r w:rsidRPr="009E1F17">
              <w:rPr>
                <w:b/>
              </w:rPr>
              <w:t>Hours</w:t>
            </w:r>
          </w:p>
        </w:tc>
        <w:tc>
          <w:tcPr>
            <w:tcW w:w="2044" w:type="dxa"/>
            <w:tcBorders>
              <w:left w:val="single" w:sz="4" w:space="0" w:color="auto"/>
            </w:tcBorders>
            <w:shd w:val="clear" w:color="auto" w:fill="B8CCE4"/>
          </w:tcPr>
          <w:p w14:paraId="1F0D501B" w14:textId="77777777" w:rsidR="00CA054B" w:rsidRPr="009E1F17" w:rsidRDefault="00CA054B" w:rsidP="00D050BE">
            <w:pPr>
              <w:rPr>
                <w:b/>
              </w:rPr>
            </w:pPr>
            <w:r w:rsidRPr="009E1F17">
              <w:rPr>
                <w:b/>
              </w:rPr>
              <w:t>Total</w:t>
            </w:r>
          </w:p>
        </w:tc>
      </w:tr>
      <w:tr w:rsidR="006C5017" w:rsidRPr="009E1F17" w14:paraId="162882C0" w14:textId="77777777" w:rsidTr="00D050BE">
        <w:tc>
          <w:tcPr>
            <w:tcW w:w="3617" w:type="dxa"/>
            <w:tcBorders>
              <w:right w:val="single" w:sz="4" w:space="0" w:color="auto"/>
            </w:tcBorders>
            <w:shd w:val="clear" w:color="auto" w:fill="FFFFFF"/>
          </w:tcPr>
          <w:p w14:paraId="54105DE9" w14:textId="77777777" w:rsidR="006C5017" w:rsidRPr="009E1F17" w:rsidRDefault="006C5017" w:rsidP="00D050BE">
            <w:pPr>
              <w:jc w:val="both"/>
            </w:pPr>
            <w:bookmarkStart w:id="0" w:name="_GoBack" w:colFirst="1" w:colLast="3"/>
            <w:r w:rsidRPr="009E1F17">
              <w:t>Lectures</w:t>
            </w:r>
          </w:p>
        </w:tc>
        <w:tc>
          <w:tcPr>
            <w:tcW w:w="1425" w:type="dxa"/>
            <w:tcBorders>
              <w:left w:val="single" w:sz="4" w:space="0" w:color="auto"/>
              <w:right w:val="single" w:sz="4" w:space="0" w:color="auto"/>
            </w:tcBorders>
            <w:shd w:val="clear" w:color="auto" w:fill="FFFFFF"/>
          </w:tcPr>
          <w:p w14:paraId="12EFA683" w14:textId="784F5892" w:rsidR="006C5017" w:rsidRPr="009E1F17" w:rsidRDefault="006C5017" w:rsidP="006C5017">
            <w:pPr>
              <w:jc w:val="center"/>
            </w:pPr>
            <w:r w:rsidRPr="00E86FA4">
              <w:t>15</w:t>
            </w:r>
          </w:p>
        </w:tc>
        <w:tc>
          <w:tcPr>
            <w:tcW w:w="1770" w:type="dxa"/>
            <w:tcBorders>
              <w:left w:val="single" w:sz="4" w:space="0" w:color="auto"/>
              <w:right w:val="single" w:sz="4" w:space="0" w:color="auto"/>
            </w:tcBorders>
            <w:shd w:val="clear" w:color="auto" w:fill="FFFFFF"/>
          </w:tcPr>
          <w:p w14:paraId="0ED3B487" w14:textId="535294F7" w:rsidR="006C5017" w:rsidRPr="009E1F17" w:rsidRDefault="006C5017" w:rsidP="006C5017">
            <w:pPr>
              <w:jc w:val="center"/>
            </w:pPr>
            <w:r>
              <w:t>2</w:t>
            </w:r>
          </w:p>
        </w:tc>
        <w:tc>
          <w:tcPr>
            <w:tcW w:w="2044" w:type="dxa"/>
            <w:tcBorders>
              <w:left w:val="single" w:sz="4" w:space="0" w:color="auto"/>
            </w:tcBorders>
            <w:shd w:val="clear" w:color="auto" w:fill="FFFFFF"/>
          </w:tcPr>
          <w:p w14:paraId="6AC156B6" w14:textId="311CDBBD" w:rsidR="006C5017" w:rsidRPr="009E1F17" w:rsidRDefault="006C5017" w:rsidP="006C5017">
            <w:pPr>
              <w:jc w:val="center"/>
            </w:pPr>
            <w:r>
              <w:t>30</w:t>
            </w:r>
          </w:p>
        </w:tc>
      </w:tr>
      <w:tr w:rsidR="006C5017" w:rsidRPr="009E1F17" w14:paraId="73660FC0" w14:textId="77777777" w:rsidTr="00D050BE">
        <w:tc>
          <w:tcPr>
            <w:tcW w:w="3617" w:type="dxa"/>
            <w:tcBorders>
              <w:right w:val="single" w:sz="4" w:space="0" w:color="auto"/>
            </w:tcBorders>
            <w:shd w:val="clear" w:color="auto" w:fill="FFFFFF"/>
          </w:tcPr>
          <w:p w14:paraId="2B2CB22E" w14:textId="77777777" w:rsidR="006C5017" w:rsidRPr="009E1F17" w:rsidRDefault="006C5017" w:rsidP="00D050BE">
            <w:pPr>
              <w:jc w:val="both"/>
            </w:pPr>
            <w:r w:rsidRPr="009E1F17">
              <w:t>Seminars (theoretical and practical)</w:t>
            </w:r>
          </w:p>
        </w:tc>
        <w:tc>
          <w:tcPr>
            <w:tcW w:w="1425" w:type="dxa"/>
            <w:tcBorders>
              <w:left w:val="single" w:sz="4" w:space="0" w:color="auto"/>
              <w:right w:val="single" w:sz="4" w:space="0" w:color="auto"/>
            </w:tcBorders>
            <w:shd w:val="clear" w:color="auto" w:fill="FFFFFF"/>
          </w:tcPr>
          <w:p w14:paraId="6CBC4B8D" w14:textId="7A73749D" w:rsidR="006C5017" w:rsidRPr="009E1F17" w:rsidRDefault="006C5017" w:rsidP="006C5017">
            <w:pPr>
              <w:jc w:val="center"/>
            </w:pPr>
          </w:p>
        </w:tc>
        <w:tc>
          <w:tcPr>
            <w:tcW w:w="1770" w:type="dxa"/>
            <w:tcBorders>
              <w:left w:val="single" w:sz="4" w:space="0" w:color="auto"/>
              <w:right w:val="single" w:sz="4" w:space="0" w:color="auto"/>
            </w:tcBorders>
            <w:shd w:val="clear" w:color="auto" w:fill="FFFFFF"/>
          </w:tcPr>
          <w:p w14:paraId="0EAB4CF2" w14:textId="5423BF6C" w:rsidR="006C5017" w:rsidRPr="009E1F17" w:rsidRDefault="006C5017" w:rsidP="006C5017">
            <w:pPr>
              <w:jc w:val="center"/>
            </w:pPr>
          </w:p>
        </w:tc>
        <w:tc>
          <w:tcPr>
            <w:tcW w:w="2044" w:type="dxa"/>
            <w:tcBorders>
              <w:left w:val="single" w:sz="4" w:space="0" w:color="auto"/>
            </w:tcBorders>
            <w:shd w:val="clear" w:color="auto" w:fill="FFFFFF"/>
          </w:tcPr>
          <w:p w14:paraId="5CB3A8F8" w14:textId="1F9938C6" w:rsidR="006C5017" w:rsidRPr="009E1F17" w:rsidRDefault="006C5017" w:rsidP="006C5017">
            <w:pPr>
              <w:jc w:val="center"/>
            </w:pPr>
          </w:p>
        </w:tc>
      </w:tr>
      <w:tr w:rsidR="006C5017" w:rsidRPr="009E1F17" w14:paraId="5EB629B3" w14:textId="77777777" w:rsidTr="00D050BE">
        <w:tc>
          <w:tcPr>
            <w:tcW w:w="3617" w:type="dxa"/>
            <w:tcBorders>
              <w:right w:val="single" w:sz="4" w:space="0" w:color="auto"/>
            </w:tcBorders>
            <w:shd w:val="clear" w:color="auto" w:fill="FFFFFF"/>
          </w:tcPr>
          <w:p w14:paraId="2D773AE7" w14:textId="77777777" w:rsidR="006C5017" w:rsidRPr="009E1F17" w:rsidRDefault="006C5017" w:rsidP="00D050BE">
            <w:pPr>
              <w:jc w:val="both"/>
            </w:pPr>
            <w:r w:rsidRPr="009E1F17">
              <w:t>Case studies</w:t>
            </w:r>
          </w:p>
        </w:tc>
        <w:tc>
          <w:tcPr>
            <w:tcW w:w="1425" w:type="dxa"/>
            <w:tcBorders>
              <w:left w:val="single" w:sz="4" w:space="0" w:color="auto"/>
              <w:right w:val="single" w:sz="4" w:space="0" w:color="auto"/>
            </w:tcBorders>
            <w:shd w:val="clear" w:color="auto" w:fill="FFFFFF"/>
          </w:tcPr>
          <w:p w14:paraId="521B7706" w14:textId="77777777" w:rsidR="006C5017" w:rsidRPr="009E1F17" w:rsidRDefault="006C5017" w:rsidP="006C5017">
            <w:pPr>
              <w:jc w:val="center"/>
            </w:pPr>
          </w:p>
        </w:tc>
        <w:tc>
          <w:tcPr>
            <w:tcW w:w="1770" w:type="dxa"/>
            <w:tcBorders>
              <w:left w:val="single" w:sz="4" w:space="0" w:color="auto"/>
              <w:right w:val="single" w:sz="4" w:space="0" w:color="auto"/>
            </w:tcBorders>
            <w:shd w:val="clear" w:color="auto" w:fill="FFFFFF"/>
          </w:tcPr>
          <w:p w14:paraId="02B2097C" w14:textId="77777777" w:rsidR="006C5017" w:rsidRPr="009E1F17" w:rsidRDefault="006C5017" w:rsidP="006C5017">
            <w:pPr>
              <w:jc w:val="center"/>
            </w:pPr>
          </w:p>
        </w:tc>
        <w:tc>
          <w:tcPr>
            <w:tcW w:w="2044" w:type="dxa"/>
            <w:tcBorders>
              <w:left w:val="single" w:sz="4" w:space="0" w:color="auto"/>
            </w:tcBorders>
            <w:shd w:val="clear" w:color="auto" w:fill="FFFFFF"/>
          </w:tcPr>
          <w:p w14:paraId="03228788" w14:textId="77777777" w:rsidR="006C5017" w:rsidRPr="009E1F17" w:rsidRDefault="006C5017" w:rsidP="006C5017">
            <w:pPr>
              <w:jc w:val="center"/>
            </w:pPr>
          </w:p>
        </w:tc>
      </w:tr>
      <w:tr w:rsidR="006C5017" w:rsidRPr="009E1F17" w14:paraId="6F2B97C1" w14:textId="77777777" w:rsidTr="00D050BE">
        <w:tc>
          <w:tcPr>
            <w:tcW w:w="3617" w:type="dxa"/>
            <w:tcBorders>
              <w:right w:val="single" w:sz="4" w:space="0" w:color="auto"/>
            </w:tcBorders>
            <w:shd w:val="clear" w:color="auto" w:fill="FFFFFF"/>
          </w:tcPr>
          <w:p w14:paraId="0D6A98D5" w14:textId="77777777" w:rsidR="006C5017" w:rsidRPr="009E1F17" w:rsidRDefault="006C5017" w:rsidP="00D050BE">
            <w:pPr>
              <w:jc w:val="both"/>
            </w:pPr>
            <w:r w:rsidRPr="009E1F17">
              <w:t>Direct contact with tutor</w:t>
            </w:r>
          </w:p>
        </w:tc>
        <w:tc>
          <w:tcPr>
            <w:tcW w:w="1425" w:type="dxa"/>
            <w:tcBorders>
              <w:left w:val="single" w:sz="4" w:space="0" w:color="auto"/>
              <w:right w:val="single" w:sz="4" w:space="0" w:color="auto"/>
            </w:tcBorders>
            <w:shd w:val="clear" w:color="auto" w:fill="FFFFFF"/>
          </w:tcPr>
          <w:p w14:paraId="4D75E949" w14:textId="2E4DA0C1" w:rsidR="006C5017" w:rsidRPr="009E1F17" w:rsidRDefault="006C5017" w:rsidP="006C5017">
            <w:pPr>
              <w:jc w:val="center"/>
            </w:pPr>
            <w:r>
              <w:t>3</w:t>
            </w:r>
          </w:p>
        </w:tc>
        <w:tc>
          <w:tcPr>
            <w:tcW w:w="1770" w:type="dxa"/>
            <w:tcBorders>
              <w:left w:val="single" w:sz="4" w:space="0" w:color="auto"/>
              <w:right w:val="single" w:sz="4" w:space="0" w:color="auto"/>
            </w:tcBorders>
            <w:shd w:val="clear" w:color="auto" w:fill="FFFFFF"/>
          </w:tcPr>
          <w:p w14:paraId="3F83816B" w14:textId="336A18F3" w:rsidR="006C5017" w:rsidRPr="009E1F17" w:rsidRDefault="006C5017" w:rsidP="006C5017">
            <w:pPr>
              <w:jc w:val="center"/>
            </w:pPr>
            <w:r w:rsidRPr="00E86FA4">
              <w:t>1</w:t>
            </w:r>
          </w:p>
        </w:tc>
        <w:tc>
          <w:tcPr>
            <w:tcW w:w="2044" w:type="dxa"/>
            <w:tcBorders>
              <w:left w:val="single" w:sz="4" w:space="0" w:color="auto"/>
            </w:tcBorders>
            <w:shd w:val="clear" w:color="auto" w:fill="FFFFFF"/>
          </w:tcPr>
          <w:p w14:paraId="3308AEED" w14:textId="61C40E3B" w:rsidR="006C5017" w:rsidRPr="009E1F17" w:rsidRDefault="006C5017" w:rsidP="006C5017">
            <w:pPr>
              <w:jc w:val="center"/>
            </w:pPr>
            <w:r>
              <w:t>3</w:t>
            </w:r>
          </w:p>
        </w:tc>
      </w:tr>
      <w:tr w:rsidR="006C5017" w:rsidRPr="009E1F17" w14:paraId="246A3884" w14:textId="77777777" w:rsidTr="00D050BE">
        <w:tc>
          <w:tcPr>
            <w:tcW w:w="3617" w:type="dxa"/>
            <w:tcBorders>
              <w:right w:val="single" w:sz="4" w:space="0" w:color="auto"/>
            </w:tcBorders>
            <w:shd w:val="clear" w:color="auto" w:fill="FFFFFF"/>
          </w:tcPr>
          <w:p w14:paraId="7669C943" w14:textId="77777777" w:rsidR="006C5017" w:rsidRPr="009E1F17" w:rsidRDefault="006C5017" w:rsidP="00D050BE">
            <w:pPr>
              <w:pStyle w:val="NoSpacing"/>
              <w:spacing w:line="276" w:lineRule="auto"/>
              <w:jc w:val="both"/>
              <w:rPr>
                <w:lang w:val="en-GB"/>
              </w:rPr>
            </w:pPr>
            <w:r w:rsidRPr="009E1F17">
              <w:rPr>
                <w:lang w:val="en-GB"/>
              </w:rPr>
              <w:t>Field research</w:t>
            </w:r>
          </w:p>
        </w:tc>
        <w:tc>
          <w:tcPr>
            <w:tcW w:w="1425" w:type="dxa"/>
            <w:tcBorders>
              <w:left w:val="single" w:sz="4" w:space="0" w:color="auto"/>
              <w:right w:val="single" w:sz="4" w:space="0" w:color="auto"/>
            </w:tcBorders>
            <w:shd w:val="clear" w:color="auto" w:fill="FFFFFF"/>
          </w:tcPr>
          <w:p w14:paraId="535AFCCF" w14:textId="77777777" w:rsidR="006C5017" w:rsidRPr="009E1F17" w:rsidRDefault="006C5017" w:rsidP="006C5017">
            <w:pPr>
              <w:jc w:val="center"/>
            </w:pPr>
          </w:p>
        </w:tc>
        <w:tc>
          <w:tcPr>
            <w:tcW w:w="1770" w:type="dxa"/>
            <w:tcBorders>
              <w:left w:val="single" w:sz="4" w:space="0" w:color="auto"/>
              <w:right w:val="single" w:sz="4" w:space="0" w:color="auto"/>
            </w:tcBorders>
            <w:shd w:val="clear" w:color="auto" w:fill="FFFFFF"/>
          </w:tcPr>
          <w:p w14:paraId="64A17993" w14:textId="77777777" w:rsidR="006C5017" w:rsidRPr="009E1F17" w:rsidRDefault="006C5017" w:rsidP="006C5017">
            <w:pPr>
              <w:jc w:val="center"/>
            </w:pPr>
          </w:p>
        </w:tc>
        <w:tc>
          <w:tcPr>
            <w:tcW w:w="2044" w:type="dxa"/>
            <w:tcBorders>
              <w:left w:val="single" w:sz="4" w:space="0" w:color="auto"/>
            </w:tcBorders>
            <w:shd w:val="clear" w:color="auto" w:fill="FFFFFF"/>
          </w:tcPr>
          <w:p w14:paraId="21C1D738" w14:textId="77777777" w:rsidR="006C5017" w:rsidRPr="009E1F17" w:rsidRDefault="006C5017" w:rsidP="006C5017">
            <w:pPr>
              <w:jc w:val="center"/>
            </w:pPr>
          </w:p>
        </w:tc>
      </w:tr>
      <w:tr w:rsidR="006C5017" w:rsidRPr="009E1F17" w14:paraId="6C17164E" w14:textId="77777777" w:rsidTr="00D050BE">
        <w:tc>
          <w:tcPr>
            <w:tcW w:w="3617" w:type="dxa"/>
            <w:tcBorders>
              <w:right w:val="single" w:sz="4" w:space="0" w:color="auto"/>
            </w:tcBorders>
            <w:shd w:val="clear" w:color="auto" w:fill="FFFFFF"/>
          </w:tcPr>
          <w:p w14:paraId="1A06EA23" w14:textId="77777777" w:rsidR="006C5017" w:rsidRPr="009E1F17" w:rsidRDefault="006C5017" w:rsidP="00D050BE">
            <w:pPr>
              <w:pStyle w:val="NoSpacing"/>
              <w:spacing w:line="276" w:lineRule="auto"/>
              <w:jc w:val="both"/>
              <w:rPr>
                <w:lang w:val="en-GB"/>
              </w:rPr>
            </w:pPr>
            <w:r w:rsidRPr="009E1F17">
              <w:rPr>
                <w:lang w:val="en-GB"/>
              </w:rPr>
              <w:t>Colloquiums</w:t>
            </w:r>
          </w:p>
        </w:tc>
        <w:tc>
          <w:tcPr>
            <w:tcW w:w="1425" w:type="dxa"/>
            <w:tcBorders>
              <w:left w:val="single" w:sz="4" w:space="0" w:color="auto"/>
              <w:right w:val="single" w:sz="4" w:space="0" w:color="auto"/>
            </w:tcBorders>
            <w:shd w:val="clear" w:color="auto" w:fill="FFFFFF"/>
          </w:tcPr>
          <w:p w14:paraId="1650ED73" w14:textId="1EE24A53" w:rsidR="006C5017" w:rsidRPr="009E1F17" w:rsidRDefault="006C5017" w:rsidP="006C5017">
            <w:pPr>
              <w:jc w:val="center"/>
            </w:pPr>
            <w:r w:rsidRPr="00E86FA4">
              <w:t>3</w:t>
            </w:r>
          </w:p>
        </w:tc>
        <w:tc>
          <w:tcPr>
            <w:tcW w:w="1770" w:type="dxa"/>
            <w:tcBorders>
              <w:left w:val="single" w:sz="4" w:space="0" w:color="auto"/>
              <w:right w:val="single" w:sz="4" w:space="0" w:color="auto"/>
            </w:tcBorders>
            <w:shd w:val="clear" w:color="auto" w:fill="FFFFFF"/>
          </w:tcPr>
          <w:p w14:paraId="39B2191D" w14:textId="39DA08B5" w:rsidR="006C5017" w:rsidRPr="009E1F17" w:rsidRDefault="006C5017" w:rsidP="006C5017">
            <w:pPr>
              <w:jc w:val="center"/>
            </w:pPr>
            <w:r w:rsidRPr="00E86FA4">
              <w:t>1</w:t>
            </w:r>
          </w:p>
        </w:tc>
        <w:tc>
          <w:tcPr>
            <w:tcW w:w="2044" w:type="dxa"/>
            <w:tcBorders>
              <w:left w:val="single" w:sz="4" w:space="0" w:color="auto"/>
            </w:tcBorders>
            <w:shd w:val="clear" w:color="auto" w:fill="FFFFFF"/>
          </w:tcPr>
          <w:p w14:paraId="007A3A31" w14:textId="4075BB65" w:rsidR="006C5017" w:rsidRPr="009E1F17" w:rsidRDefault="006C5017" w:rsidP="006C5017">
            <w:pPr>
              <w:jc w:val="center"/>
            </w:pPr>
            <w:r w:rsidRPr="00E86FA4">
              <w:t>3</w:t>
            </w:r>
          </w:p>
        </w:tc>
      </w:tr>
      <w:tr w:rsidR="006C5017" w:rsidRPr="009E1F17" w14:paraId="0798349C" w14:textId="77777777" w:rsidTr="00D050BE">
        <w:tc>
          <w:tcPr>
            <w:tcW w:w="3617" w:type="dxa"/>
            <w:tcBorders>
              <w:right w:val="single" w:sz="4" w:space="0" w:color="auto"/>
            </w:tcBorders>
            <w:shd w:val="clear" w:color="auto" w:fill="FFFFFF"/>
          </w:tcPr>
          <w:p w14:paraId="4CBFAA7E" w14:textId="77777777" w:rsidR="006C5017" w:rsidRPr="009E1F17" w:rsidRDefault="006C5017" w:rsidP="00D050BE">
            <w:pPr>
              <w:pStyle w:val="NoSpacing"/>
              <w:spacing w:line="276" w:lineRule="auto"/>
              <w:jc w:val="both"/>
              <w:rPr>
                <w:lang w:val="en-GB"/>
              </w:rPr>
            </w:pPr>
            <w:r w:rsidRPr="009E1F17">
              <w:rPr>
                <w:lang w:val="en-GB"/>
              </w:rPr>
              <w:t>Homework</w:t>
            </w:r>
          </w:p>
        </w:tc>
        <w:tc>
          <w:tcPr>
            <w:tcW w:w="1425" w:type="dxa"/>
            <w:tcBorders>
              <w:left w:val="single" w:sz="4" w:space="0" w:color="auto"/>
              <w:right w:val="single" w:sz="4" w:space="0" w:color="auto"/>
            </w:tcBorders>
            <w:shd w:val="clear" w:color="auto" w:fill="FFFFFF"/>
          </w:tcPr>
          <w:p w14:paraId="6FFC8866" w14:textId="3D5173E8" w:rsidR="006C5017" w:rsidRPr="009E1F17" w:rsidRDefault="006C5017" w:rsidP="006C5017">
            <w:pPr>
              <w:jc w:val="center"/>
            </w:pPr>
          </w:p>
        </w:tc>
        <w:tc>
          <w:tcPr>
            <w:tcW w:w="1770" w:type="dxa"/>
            <w:tcBorders>
              <w:left w:val="single" w:sz="4" w:space="0" w:color="auto"/>
              <w:right w:val="single" w:sz="4" w:space="0" w:color="auto"/>
            </w:tcBorders>
            <w:shd w:val="clear" w:color="auto" w:fill="FFFFFF"/>
          </w:tcPr>
          <w:p w14:paraId="4609AF16" w14:textId="74AA1E18" w:rsidR="006C5017" w:rsidRPr="009E1F17" w:rsidRDefault="006C5017" w:rsidP="006C5017">
            <w:pPr>
              <w:jc w:val="center"/>
            </w:pPr>
          </w:p>
        </w:tc>
        <w:tc>
          <w:tcPr>
            <w:tcW w:w="2044" w:type="dxa"/>
            <w:tcBorders>
              <w:left w:val="single" w:sz="4" w:space="0" w:color="auto"/>
            </w:tcBorders>
            <w:shd w:val="clear" w:color="auto" w:fill="FFFFFF"/>
          </w:tcPr>
          <w:p w14:paraId="7C8EA68C" w14:textId="333789B1" w:rsidR="006C5017" w:rsidRPr="009E1F17" w:rsidRDefault="006C5017" w:rsidP="006C5017">
            <w:pPr>
              <w:jc w:val="center"/>
            </w:pPr>
          </w:p>
        </w:tc>
      </w:tr>
      <w:tr w:rsidR="006C5017" w:rsidRPr="009E1F17" w14:paraId="28A361C0" w14:textId="77777777" w:rsidTr="00D050BE">
        <w:tc>
          <w:tcPr>
            <w:tcW w:w="3617" w:type="dxa"/>
            <w:tcBorders>
              <w:right w:val="single" w:sz="4" w:space="0" w:color="auto"/>
            </w:tcBorders>
            <w:shd w:val="clear" w:color="auto" w:fill="FFFFFF"/>
          </w:tcPr>
          <w:p w14:paraId="7526FFF0" w14:textId="77777777" w:rsidR="006C5017" w:rsidRPr="009E1F17" w:rsidRDefault="006C5017" w:rsidP="00D050BE">
            <w:pPr>
              <w:pStyle w:val="NoSpacing"/>
              <w:spacing w:line="276" w:lineRule="auto"/>
              <w:jc w:val="both"/>
              <w:rPr>
                <w:lang w:val="en-GB"/>
              </w:rPr>
            </w:pPr>
            <w:r w:rsidRPr="009E1F17">
              <w:rPr>
                <w:lang w:val="en-GB"/>
              </w:rPr>
              <w:t>Individual study (at library or at home)</w:t>
            </w:r>
          </w:p>
        </w:tc>
        <w:tc>
          <w:tcPr>
            <w:tcW w:w="1425" w:type="dxa"/>
            <w:tcBorders>
              <w:left w:val="single" w:sz="4" w:space="0" w:color="auto"/>
              <w:right w:val="single" w:sz="4" w:space="0" w:color="auto"/>
            </w:tcBorders>
            <w:shd w:val="clear" w:color="auto" w:fill="FFFFFF"/>
          </w:tcPr>
          <w:p w14:paraId="74358E06" w14:textId="290188C5" w:rsidR="006C5017" w:rsidRPr="009E1F17" w:rsidRDefault="006C5017" w:rsidP="006C5017">
            <w:pPr>
              <w:jc w:val="center"/>
            </w:pPr>
            <w:r w:rsidRPr="00E86FA4">
              <w:t>15</w:t>
            </w:r>
          </w:p>
        </w:tc>
        <w:tc>
          <w:tcPr>
            <w:tcW w:w="1770" w:type="dxa"/>
            <w:tcBorders>
              <w:left w:val="single" w:sz="4" w:space="0" w:color="auto"/>
              <w:right w:val="single" w:sz="4" w:space="0" w:color="auto"/>
            </w:tcBorders>
            <w:shd w:val="clear" w:color="auto" w:fill="FFFFFF"/>
          </w:tcPr>
          <w:p w14:paraId="4596757D" w14:textId="1898584F" w:rsidR="006C5017" w:rsidRPr="009E1F17" w:rsidRDefault="00D95EC2" w:rsidP="006C5017">
            <w:pPr>
              <w:jc w:val="center"/>
            </w:pPr>
            <w:r>
              <w:t>3</w:t>
            </w:r>
          </w:p>
        </w:tc>
        <w:tc>
          <w:tcPr>
            <w:tcW w:w="2044" w:type="dxa"/>
            <w:tcBorders>
              <w:left w:val="single" w:sz="4" w:space="0" w:color="auto"/>
            </w:tcBorders>
            <w:shd w:val="clear" w:color="auto" w:fill="FFFFFF"/>
          </w:tcPr>
          <w:p w14:paraId="3826193F" w14:textId="1429E82E" w:rsidR="006C5017" w:rsidRPr="009E1F17" w:rsidRDefault="00D95EC2" w:rsidP="006C5017">
            <w:pPr>
              <w:jc w:val="center"/>
            </w:pPr>
            <w:r>
              <w:t>45</w:t>
            </w:r>
          </w:p>
        </w:tc>
      </w:tr>
      <w:tr w:rsidR="006C5017" w:rsidRPr="009E1F17" w14:paraId="641D3AAC" w14:textId="77777777" w:rsidTr="00D050BE">
        <w:tc>
          <w:tcPr>
            <w:tcW w:w="3617" w:type="dxa"/>
            <w:tcBorders>
              <w:right w:val="single" w:sz="4" w:space="0" w:color="auto"/>
            </w:tcBorders>
            <w:shd w:val="clear" w:color="auto" w:fill="FFFFFF"/>
          </w:tcPr>
          <w:p w14:paraId="1EE9D0C1" w14:textId="77777777" w:rsidR="006C5017" w:rsidRPr="009E1F17" w:rsidRDefault="006C5017" w:rsidP="00D050BE">
            <w:pPr>
              <w:pStyle w:val="NoSpacing"/>
              <w:spacing w:line="276" w:lineRule="auto"/>
              <w:jc w:val="both"/>
              <w:rPr>
                <w:lang w:val="en-GB"/>
              </w:rPr>
            </w:pPr>
            <w:r w:rsidRPr="009E1F17">
              <w:rPr>
                <w:lang w:val="en-GB"/>
              </w:rPr>
              <w:t>Final preparation for the exam</w:t>
            </w:r>
          </w:p>
        </w:tc>
        <w:tc>
          <w:tcPr>
            <w:tcW w:w="1425" w:type="dxa"/>
            <w:tcBorders>
              <w:left w:val="single" w:sz="4" w:space="0" w:color="auto"/>
              <w:right w:val="single" w:sz="4" w:space="0" w:color="auto"/>
            </w:tcBorders>
            <w:shd w:val="clear" w:color="auto" w:fill="FFFFFF"/>
          </w:tcPr>
          <w:p w14:paraId="0AFA32F7" w14:textId="52319FD6" w:rsidR="006C5017" w:rsidRPr="009E1F17" w:rsidRDefault="006C5017" w:rsidP="006C5017">
            <w:pPr>
              <w:jc w:val="center"/>
            </w:pPr>
            <w:r w:rsidRPr="00E86FA4">
              <w:t>2</w:t>
            </w:r>
          </w:p>
        </w:tc>
        <w:tc>
          <w:tcPr>
            <w:tcW w:w="1770" w:type="dxa"/>
            <w:tcBorders>
              <w:left w:val="single" w:sz="4" w:space="0" w:color="auto"/>
              <w:right w:val="single" w:sz="4" w:space="0" w:color="auto"/>
            </w:tcBorders>
            <w:shd w:val="clear" w:color="auto" w:fill="FFFFFF"/>
          </w:tcPr>
          <w:p w14:paraId="3B81DFB5" w14:textId="0B0FA078" w:rsidR="006C5017" w:rsidRPr="009E1F17" w:rsidRDefault="00D95EC2" w:rsidP="006C5017">
            <w:pPr>
              <w:jc w:val="center"/>
            </w:pPr>
            <w:r>
              <w:t>5</w:t>
            </w:r>
          </w:p>
        </w:tc>
        <w:tc>
          <w:tcPr>
            <w:tcW w:w="2044" w:type="dxa"/>
            <w:tcBorders>
              <w:left w:val="single" w:sz="4" w:space="0" w:color="auto"/>
            </w:tcBorders>
            <w:shd w:val="clear" w:color="auto" w:fill="FFFFFF"/>
          </w:tcPr>
          <w:p w14:paraId="00700284" w14:textId="4BF6AD70" w:rsidR="006C5017" w:rsidRPr="009E1F17" w:rsidRDefault="006C5017" w:rsidP="006C5017">
            <w:pPr>
              <w:jc w:val="center"/>
            </w:pPr>
            <w:r>
              <w:t>1</w:t>
            </w:r>
            <w:r w:rsidR="00D95EC2">
              <w:t>0</w:t>
            </w:r>
          </w:p>
        </w:tc>
      </w:tr>
      <w:tr w:rsidR="006C5017" w:rsidRPr="009E1F17" w14:paraId="02F96E52" w14:textId="77777777" w:rsidTr="00D050BE">
        <w:tc>
          <w:tcPr>
            <w:tcW w:w="3617" w:type="dxa"/>
            <w:tcBorders>
              <w:right w:val="single" w:sz="4" w:space="0" w:color="auto"/>
            </w:tcBorders>
            <w:shd w:val="clear" w:color="auto" w:fill="FFFFFF"/>
          </w:tcPr>
          <w:p w14:paraId="5060C595" w14:textId="77777777" w:rsidR="006C5017" w:rsidRPr="009E1F17" w:rsidRDefault="006C5017" w:rsidP="00D050BE">
            <w:pPr>
              <w:pStyle w:val="NoSpacing"/>
              <w:spacing w:line="276" w:lineRule="auto"/>
              <w:jc w:val="both"/>
              <w:rPr>
                <w:lang w:val="en-GB"/>
              </w:rPr>
            </w:pPr>
            <w:r w:rsidRPr="009E1F17">
              <w:rPr>
                <w:lang w:val="en-GB"/>
              </w:rPr>
              <w:t>Evaluation</w:t>
            </w:r>
          </w:p>
        </w:tc>
        <w:tc>
          <w:tcPr>
            <w:tcW w:w="1425" w:type="dxa"/>
            <w:tcBorders>
              <w:left w:val="single" w:sz="4" w:space="0" w:color="auto"/>
              <w:right w:val="single" w:sz="4" w:space="0" w:color="auto"/>
            </w:tcBorders>
            <w:shd w:val="clear" w:color="auto" w:fill="FFFFFF"/>
          </w:tcPr>
          <w:p w14:paraId="2B88B60E" w14:textId="16313CC6" w:rsidR="006C5017" w:rsidRPr="009E1F17" w:rsidRDefault="006C5017" w:rsidP="006C5017">
            <w:pPr>
              <w:jc w:val="center"/>
            </w:pPr>
            <w:r>
              <w:t>3</w:t>
            </w:r>
          </w:p>
        </w:tc>
        <w:tc>
          <w:tcPr>
            <w:tcW w:w="1770" w:type="dxa"/>
            <w:tcBorders>
              <w:left w:val="single" w:sz="4" w:space="0" w:color="auto"/>
              <w:right w:val="single" w:sz="4" w:space="0" w:color="auto"/>
            </w:tcBorders>
            <w:shd w:val="clear" w:color="auto" w:fill="FFFFFF"/>
          </w:tcPr>
          <w:p w14:paraId="36BCF128" w14:textId="79F523FC" w:rsidR="006C5017" w:rsidRPr="009E1F17" w:rsidRDefault="006C5017" w:rsidP="006C5017">
            <w:pPr>
              <w:jc w:val="center"/>
            </w:pPr>
            <w:r>
              <w:t>1</w:t>
            </w:r>
          </w:p>
        </w:tc>
        <w:tc>
          <w:tcPr>
            <w:tcW w:w="2044" w:type="dxa"/>
            <w:tcBorders>
              <w:left w:val="single" w:sz="4" w:space="0" w:color="auto"/>
            </w:tcBorders>
            <w:shd w:val="clear" w:color="auto" w:fill="FFFFFF"/>
          </w:tcPr>
          <w:p w14:paraId="097C5C9B" w14:textId="4C727342" w:rsidR="006C5017" w:rsidRPr="009E1F17" w:rsidRDefault="006C5017" w:rsidP="006C5017">
            <w:pPr>
              <w:jc w:val="center"/>
            </w:pPr>
            <w:r>
              <w:t>3</w:t>
            </w:r>
          </w:p>
        </w:tc>
      </w:tr>
      <w:tr w:rsidR="006C5017" w:rsidRPr="009E1F17" w14:paraId="07A648E4" w14:textId="77777777" w:rsidTr="00D050BE">
        <w:tc>
          <w:tcPr>
            <w:tcW w:w="3617" w:type="dxa"/>
            <w:tcBorders>
              <w:right w:val="single" w:sz="4" w:space="0" w:color="auto"/>
            </w:tcBorders>
            <w:shd w:val="clear" w:color="auto" w:fill="FFFFFF"/>
          </w:tcPr>
          <w:p w14:paraId="3609E242" w14:textId="77777777" w:rsidR="006C5017" w:rsidRPr="009E1F17" w:rsidRDefault="006C5017" w:rsidP="00D050BE">
            <w:pPr>
              <w:pStyle w:val="NoSpacing"/>
              <w:spacing w:line="276" w:lineRule="auto"/>
              <w:jc w:val="both"/>
              <w:rPr>
                <w:lang w:val="en-GB"/>
              </w:rPr>
            </w:pPr>
            <w:r w:rsidRPr="009E1F17">
              <w:rPr>
                <w:lang w:val="en-GB"/>
              </w:rPr>
              <w:t xml:space="preserve">Projects, presentation etc. </w:t>
            </w:r>
          </w:p>
        </w:tc>
        <w:tc>
          <w:tcPr>
            <w:tcW w:w="1425" w:type="dxa"/>
            <w:tcBorders>
              <w:left w:val="single" w:sz="4" w:space="0" w:color="auto"/>
              <w:right w:val="single" w:sz="4" w:space="0" w:color="auto"/>
            </w:tcBorders>
            <w:shd w:val="clear" w:color="auto" w:fill="FFFFFF"/>
          </w:tcPr>
          <w:p w14:paraId="3439C6BC" w14:textId="2218306E" w:rsidR="006C5017" w:rsidRPr="009E1F17" w:rsidRDefault="006C5017" w:rsidP="006C5017">
            <w:pPr>
              <w:jc w:val="center"/>
            </w:pPr>
            <w:r w:rsidRPr="00E86FA4">
              <w:t>3</w:t>
            </w:r>
          </w:p>
        </w:tc>
        <w:tc>
          <w:tcPr>
            <w:tcW w:w="1770" w:type="dxa"/>
            <w:tcBorders>
              <w:left w:val="single" w:sz="4" w:space="0" w:color="auto"/>
              <w:right w:val="single" w:sz="4" w:space="0" w:color="auto"/>
            </w:tcBorders>
            <w:shd w:val="clear" w:color="auto" w:fill="FFFFFF"/>
          </w:tcPr>
          <w:p w14:paraId="2789F317" w14:textId="2F94192E" w:rsidR="006C5017" w:rsidRPr="009E1F17" w:rsidRDefault="00D95EC2" w:rsidP="006C5017">
            <w:pPr>
              <w:jc w:val="center"/>
            </w:pPr>
            <w:r>
              <w:t>5</w:t>
            </w:r>
          </w:p>
        </w:tc>
        <w:tc>
          <w:tcPr>
            <w:tcW w:w="2044" w:type="dxa"/>
            <w:tcBorders>
              <w:left w:val="single" w:sz="4" w:space="0" w:color="auto"/>
            </w:tcBorders>
            <w:shd w:val="clear" w:color="auto" w:fill="FFFFFF"/>
          </w:tcPr>
          <w:p w14:paraId="723F7632" w14:textId="4F742BFB" w:rsidR="00D95EC2" w:rsidRPr="009E1F17" w:rsidRDefault="006C5017" w:rsidP="00D95EC2">
            <w:pPr>
              <w:jc w:val="center"/>
            </w:pPr>
            <w:r w:rsidRPr="00E86FA4">
              <w:t>1</w:t>
            </w:r>
            <w:r w:rsidR="00D95EC2">
              <w:t>5</w:t>
            </w:r>
          </w:p>
        </w:tc>
      </w:tr>
      <w:tr w:rsidR="006C5017" w:rsidRPr="009E1F17" w14:paraId="42DD63B9" w14:textId="77777777" w:rsidTr="00D050BE">
        <w:tc>
          <w:tcPr>
            <w:tcW w:w="3617" w:type="dxa"/>
            <w:tcBorders>
              <w:right w:val="single" w:sz="4" w:space="0" w:color="auto"/>
            </w:tcBorders>
            <w:shd w:val="clear" w:color="auto" w:fill="B8CCE4"/>
          </w:tcPr>
          <w:p w14:paraId="1146F586" w14:textId="77777777" w:rsidR="006C5017" w:rsidRPr="009E1F17" w:rsidRDefault="006C5017" w:rsidP="00D050BE">
            <w:pPr>
              <w:rPr>
                <w:b/>
              </w:rPr>
            </w:pPr>
            <w:r w:rsidRPr="009E1F17">
              <w:rPr>
                <w:b/>
              </w:rPr>
              <w:t>Total</w:t>
            </w:r>
          </w:p>
        </w:tc>
        <w:tc>
          <w:tcPr>
            <w:tcW w:w="1425" w:type="dxa"/>
            <w:tcBorders>
              <w:left w:val="single" w:sz="4" w:space="0" w:color="auto"/>
              <w:right w:val="single" w:sz="4" w:space="0" w:color="auto"/>
            </w:tcBorders>
            <w:shd w:val="clear" w:color="auto" w:fill="B8CCE4"/>
          </w:tcPr>
          <w:p w14:paraId="6A45CCF9" w14:textId="77777777" w:rsidR="006C5017" w:rsidRPr="009E1F17" w:rsidRDefault="006C5017" w:rsidP="00D050BE">
            <w:pPr>
              <w:jc w:val="right"/>
              <w:rPr>
                <w:b/>
                <w:bCs/>
              </w:rPr>
            </w:pPr>
          </w:p>
        </w:tc>
        <w:tc>
          <w:tcPr>
            <w:tcW w:w="1770" w:type="dxa"/>
            <w:tcBorders>
              <w:left w:val="single" w:sz="4" w:space="0" w:color="auto"/>
              <w:right w:val="single" w:sz="4" w:space="0" w:color="auto"/>
            </w:tcBorders>
            <w:shd w:val="clear" w:color="auto" w:fill="B8CCE4"/>
          </w:tcPr>
          <w:p w14:paraId="12D56E9C" w14:textId="77777777" w:rsidR="006C5017" w:rsidRPr="009E1F17" w:rsidRDefault="006C5017" w:rsidP="00D050BE">
            <w:pPr>
              <w:jc w:val="right"/>
              <w:rPr>
                <w:b/>
                <w:bCs/>
              </w:rPr>
            </w:pPr>
          </w:p>
        </w:tc>
        <w:tc>
          <w:tcPr>
            <w:tcW w:w="2044" w:type="dxa"/>
            <w:tcBorders>
              <w:left w:val="single" w:sz="4" w:space="0" w:color="auto"/>
            </w:tcBorders>
            <w:shd w:val="clear" w:color="auto" w:fill="B8CCE4"/>
          </w:tcPr>
          <w:p w14:paraId="21011DB5" w14:textId="6B23AF6C" w:rsidR="006C5017" w:rsidRPr="009E1F17" w:rsidRDefault="00D95EC2" w:rsidP="00D050BE">
            <w:pPr>
              <w:jc w:val="center"/>
              <w:rPr>
                <w:b/>
                <w:bCs/>
              </w:rPr>
            </w:pPr>
            <w:r>
              <w:rPr>
                <w:b/>
                <w:bCs/>
              </w:rPr>
              <w:t>1</w:t>
            </w:r>
            <w:r w:rsidR="006C5017" w:rsidRPr="00E86FA4">
              <w:rPr>
                <w:b/>
                <w:bCs/>
              </w:rPr>
              <w:t>0</w:t>
            </w:r>
            <w:r>
              <w:rPr>
                <w:b/>
                <w:bCs/>
              </w:rPr>
              <w:t>9</w:t>
            </w:r>
          </w:p>
        </w:tc>
      </w:tr>
      <w:bookmarkEnd w:id="0"/>
      <w:tr w:rsidR="006C5017" w:rsidRPr="009E1F17" w14:paraId="26FE7508" w14:textId="77777777" w:rsidTr="00D050BE">
        <w:tc>
          <w:tcPr>
            <w:tcW w:w="3617" w:type="dxa"/>
          </w:tcPr>
          <w:p w14:paraId="4247882C" w14:textId="77777777" w:rsidR="006C5017" w:rsidRPr="009E1F17" w:rsidRDefault="006C5017" w:rsidP="00D050BE">
            <w:pPr>
              <w:tabs>
                <w:tab w:val="num" w:pos="1080"/>
              </w:tabs>
              <w:jc w:val="both"/>
              <w:rPr>
                <w:b/>
              </w:rPr>
            </w:pPr>
            <w:r w:rsidRPr="009E1F17">
              <w:rPr>
                <w:b/>
              </w:rPr>
              <w:t xml:space="preserve">Teaching methods:  </w:t>
            </w:r>
          </w:p>
        </w:tc>
        <w:tc>
          <w:tcPr>
            <w:tcW w:w="5239" w:type="dxa"/>
            <w:gridSpan w:val="3"/>
          </w:tcPr>
          <w:p w14:paraId="4D3FE344" w14:textId="503B7135" w:rsidR="006C5017" w:rsidRPr="009E1F17" w:rsidRDefault="006C5017" w:rsidP="00D050BE">
            <w:r w:rsidRPr="009E1F17">
              <w:t>Lectures; tutorials using case studies; homework; guest lectures.</w:t>
            </w:r>
          </w:p>
        </w:tc>
      </w:tr>
      <w:tr w:rsidR="006C5017" w:rsidRPr="009E1F17" w14:paraId="1453F3D6" w14:textId="77777777" w:rsidTr="00D050BE">
        <w:tc>
          <w:tcPr>
            <w:tcW w:w="3617" w:type="dxa"/>
          </w:tcPr>
          <w:p w14:paraId="0ADC78C5" w14:textId="77777777" w:rsidR="006C5017" w:rsidRPr="009E1F17" w:rsidRDefault="006C5017" w:rsidP="00D050BE">
            <w:pPr>
              <w:pStyle w:val="NoSpacing"/>
              <w:rPr>
                <w:b/>
                <w:lang w:val="en-GB"/>
              </w:rPr>
            </w:pPr>
            <w:r w:rsidRPr="009E1F17">
              <w:rPr>
                <w:b/>
                <w:lang w:val="en-GB"/>
              </w:rPr>
              <w:t>Assessment methods:</w:t>
            </w:r>
          </w:p>
        </w:tc>
        <w:tc>
          <w:tcPr>
            <w:tcW w:w="5239" w:type="dxa"/>
            <w:gridSpan w:val="3"/>
          </w:tcPr>
          <w:p w14:paraId="67701E06" w14:textId="77777777" w:rsidR="006C5017" w:rsidRPr="009E1F17" w:rsidRDefault="006C5017" w:rsidP="004A047C">
            <w:r w:rsidRPr="009E1F17">
              <w:t>Activity and assignment point values</w:t>
            </w:r>
          </w:p>
          <w:p w14:paraId="533CBE98" w14:textId="77777777" w:rsidR="006C5017" w:rsidRPr="009E1F17" w:rsidRDefault="006C5017" w:rsidP="004A047C">
            <w:pPr>
              <w:spacing w:line="360" w:lineRule="auto"/>
              <w:jc w:val="both"/>
            </w:pPr>
            <w:r w:rsidRPr="009E1F17">
              <w:t>Grading will be based on:</w:t>
            </w:r>
          </w:p>
          <w:p w14:paraId="5C68B511" w14:textId="77777777" w:rsidR="006C5017" w:rsidRPr="009E1F17" w:rsidRDefault="006C5017" w:rsidP="00AB180B">
            <w:pPr>
              <w:numPr>
                <w:ilvl w:val="0"/>
                <w:numId w:val="2"/>
              </w:numPr>
              <w:jc w:val="both"/>
            </w:pPr>
            <w:r w:rsidRPr="009E1F17">
              <w:t>Quiz 1 – 25% of the Grade</w:t>
            </w:r>
          </w:p>
          <w:p w14:paraId="37F743F0" w14:textId="77777777" w:rsidR="006C5017" w:rsidRPr="009E1F17" w:rsidRDefault="006C5017" w:rsidP="00AB180B">
            <w:pPr>
              <w:numPr>
                <w:ilvl w:val="0"/>
                <w:numId w:val="2"/>
              </w:numPr>
              <w:jc w:val="both"/>
            </w:pPr>
            <w:r w:rsidRPr="009E1F17">
              <w:t xml:space="preserve">Quiz 2 - 30% of the Grade </w:t>
            </w:r>
          </w:p>
          <w:p w14:paraId="23F62435" w14:textId="77777777" w:rsidR="006C5017" w:rsidRPr="009E1F17" w:rsidRDefault="006C5017" w:rsidP="00AB180B">
            <w:pPr>
              <w:numPr>
                <w:ilvl w:val="0"/>
                <w:numId w:val="2"/>
              </w:numPr>
              <w:jc w:val="both"/>
            </w:pPr>
            <w:r w:rsidRPr="009E1F17">
              <w:t>Quiz 3 - 35% of the Grade</w:t>
            </w:r>
          </w:p>
          <w:p w14:paraId="34D7CCD0" w14:textId="77777777" w:rsidR="006C5017" w:rsidRPr="009E1F17" w:rsidRDefault="006C5017" w:rsidP="00AB180B">
            <w:pPr>
              <w:numPr>
                <w:ilvl w:val="0"/>
                <w:numId w:val="2"/>
              </w:numPr>
              <w:jc w:val="both"/>
            </w:pPr>
            <w:r w:rsidRPr="009E1F17">
              <w:t>Assignment 1 – 10% of the Grade</w:t>
            </w:r>
          </w:p>
          <w:p w14:paraId="79B18DEE" w14:textId="77777777" w:rsidR="006C5017" w:rsidRPr="009E1F17" w:rsidRDefault="006C5017" w:rsidP="00D050BE">
            <w:pPr>
              <w:jc w:val="both"/>
            </w:pPr>
            <w:r w:rsidRPr="009E1F17">
              <w:t>The maximum number of points is 100. The Final grade will be calculated as follows:</w:t>
            </w:r>
          </w:p>
          <w:p w14:paraId="2B9EEE3B" w14:textId="77777777" w:rsidR="006C5017" w:rsidRPr="009E1F17" w:rsidRDefault="006C5017" w:rsidP="00D050BE">
            <w:pPr>
              <w:jc w:val="both"/>
            </w:pPr>
          </w:p>
          <w:p w14:paraId="0B261033" w14:textId="77777777" w:rsidR="006C5017" w:rsidRPr="009E1F17" w:rsidRDefault="006C5017" w:rsidP="00D050BE">
            <w:pPr>
              <w:spacing w:line="360" w:lineRule="auto"/>
              <w:jc w:val="both"/>
            </w:pPr>
            <w:r w:rsidRPr="009E1F17">
              <w:t xml:space="preserve">Percentage       Grade    </w:t>
            </w:r>
            <w:r w:rsidRPr="009E1F17">
              <w:tab/>
              <w:t>Grade Points</w:t>
            </w:r>
          </w:p>
          <w:p w14:paraId="4E4821EF" w14:textId="77777777" w:rsidR="006C5017" w:rsidRPr="009E1F17" w:rsidRDefault="006C5017" w:rsidP="00D050BE">
            <w:pPr>
              <w:spacing w:line="360" w:lineRule="auto"/>
              <w:ind w:firstLine="360"/>
              <w:jc w:val="both"/>
            </w:pPr>
            <w:r w:rsidRPr="009E1F17">
              <w:t xml:space="preserve">91 – 100 </w:t>
            </w:r>
            <w:r w:rsidRPr="009E1F17">
              <w:tab/>
            </w:r>
            <w:r w:rsidRPr="009E1F17">
              <w:tab/>
              <w:t>A</w:t>
            </w:r>
            <w:r w:rsidRPr="009E1F17">
              <w:tab/>
            </w:r>
            <w:r w:rsidRPr="009E1F17">
              <w:tab/>
              <w:t>10</w:t>
            </w:r>
          </w:p>
          <w:p w14:paraId="404AAA83" w14:textId="77777777" w:rsidR="006C5017" w:rsidRPr="009E1F17" w:rsidRDefault="006C5017" w:rsidP="00D050BE">
            <w:pPr>
              <w:spacing w:line="360" w:lineRule="auto"/>
              <w:ind w:firstLine="360"/>
              <w:jc w:val="both"/>
            </w:pPr>
            <w:r w:rsidRPr="009E1F17">
              <w:t xml:space="preserve">81 – 90 </w:t>
            </w:r>
            <w:r w:rsidRPr="009E1F17">
              <w:tab/>
            </w:r>
            <w:r w:rsidRPr="009E1F17">
              <w:tab/>
              <w:t>B</w:t>
            </w:r>
            <w:r w:rsidRPr="009E1F17">
              <w:rPr>
                <w:vertAlign w:val="superscript"/>
              </w:rPr>
              <w:tab/>
            </w:r>
            <w:r w:rsidRPr="009E1F17">
              <w:rPr>
                <w:vertAlign w:val="superscript"/>
              </w:rPr>
              <w:tab/>
            </w:r>
            <w:r w:rsidRPr="009E1F17">
              <w:t>9</w:t>
            </w:r>
          </w:p>
          <w:p w14:paraId="0B7C3185" w14:textId="77777777" w:rsidR="006C5017" w:rsidRPr="009E1F17" w:rsidRDefault="006C5017" w:rsidP="00D050BE">
            <w:pPr>
              <w:spacing w:line="360" w:lineRule="auto"/>
              <w:ind w:firstLine="360"/>
              <w:jc w:val="both"/>
            </w:pPr>
            <w:r w:rsidRPr="009E1F17">
              <w:t xml:space="preserve">71 – 80 </w:t>
            </w:r>
            <w:r w:rsidRPr="009E1F17">
              <w:tab/>
            </w:r>
            <w:r w:rsidRPr="009E1F17">
              <w:tab/>
              <w:t>C</w:t>
            </w:r>
            <w:r w:rsidRPr="009E1F17">
              <w:rPr>
                <w:vertAlign w:val="superscript"/>
              </w:rPr>
              <w:tab/>
            </w:r>
            <w:r w:rsidRPr="009E1F17">
              <w:rPr>
                <w:vertAlign w:val="superscript"/>
              </w:rPr>
              <w:tab/>
            </w:r>
            <w:r w:rsidRPr="009E1F17">
              <w:t>8</w:t>
            </w:r>
          </w:p>
          <w:p w14:paraId="36846B32" w14:textId="77777777" w:rsidR="006C5017" w:rsidRPr="009E1F17" w:rsidRDefault="006C5017" w:rsidP="00D050BE">
            <w:pPr>
              <w:spacing w:line="360" w:lineRule="auto"/>
              <w:ind w:firstLine="360"/>
              <w:jc w:val="both"/>
            </w:pPr>
            <w:r w:rsidRPr="009E1F17">
              <w:t xml:space="preserve">61 – 70 </w:t>
            </w:r>
            <w:r w:rsidRPr="009E1F17">
              <w:tab/>
            </w:r>
            <w:r w:rsidRPr="009E1F17">
              <w:tab/>
              <w:t xml:space="preserve">D </w:t>
            </w:r>
            <w:r w:rsidRPr="009E1F17">
              <w:tab/>
            </w:r>
            <w:r w:rsidRPr="009E1F17">
              <w:tab/>
              <w:t>7</w:t>
            </w:r>
          </w:p>
          <w:p w14:paraId="111139A1" w14:textId="77777777" w:rsidR="006C5017" w:rsidRPr="009E1F17" w:rsidRDefault="006C5017" w:rsidP="00D050BE">
            <w:pPr>
              <w:spacing w:line="360" w:lineRule="auto"/>
              <w:ind w:firstLine="360"/>
              <w:jc w:val="both"/>
            </w:pPr>
            <w:r w:rsidRPr="009E1F17">
              <w:t xml:space="preserve">51 – 60 </w:t>
            </w:r>
            <w:r w:rsidRPr="009E1F17">
              <w:tab/>
            </w:r>
            <w:r w:rsidRPr="009E1F17">
              <w:tab/>
              <w:t>E</w:t>
            </w:r>
            <w:r w:rsidRPr="009E1F17">
              <w:rPr>
                <w:vertAlign w:val="superscript"/>
              </w:rPr>
              <w:tab/>
            </w:r>
            <w:r w:rsidRPr="009E1F17">
              <w:rPr>
                <w:vertAlign w:val="superscript"/>
              </w:rPr>
              <w:tab/>
            </w:r>
            <w:r w:rsidRPr="009E1F17">
              <w:t>6</w:t>
            </w:r>
          </w:p>
          <w:p w14:paraId="5CDC8E82" w14:textId="77777777" w:rsidR="006C5017" w:rsidRPr="009E1F17" w:rsidRDefault="006C5017" w:rsidP="00D050BE">
            <w:pPr>
              <w:spacing w:line="360" w:lineRule="auto"/>
              <w:ind w:firstLine="360"/>
              <w:jc w:val="both"/>
            </w:pPr>
            <w:r w:rsidRPr="009E1F17">
              <w:t xml:space="preserve">&lt;50  </w:t>
            </w:r>
            <w:r w:rsidRPr="009E1F17">
              <w:tab/>
            </w:r>
            <w:r w:rsidRPr="009E1F17">
              <w:tab/>
              <w:t>FX</w:t>
            </w:r>
            <w:r w:rsidRPr="009E1F17">
              <w:rPr>
                <w:vertAlign w:val="superscript"/>
              </w:rPr>
              <w:tab/>
            </w:r>
            <w:r w:rsidRPr="009E1F17">
              <w:rPr>
                <w:vertAlign w:val="superscript"/>
              </w:rPr>
              <w:tab/>
            </w:r>
            <w:r w:rsidRPr="009E1F17">
              <w:t>5</w:t>
            </w:r>
          </w:p>
        </w:tc>
      </w:tr>
      <w:tr w:rsidR="006C5017" w:rsidRPr="009E1F17" w14:paraId="5D210F6D" w14:textId="77777777" w:rsidTr="00D050BE">
        <w:tc>
          <w:tcPr>
            <w:tcW w:w="8856" w:type="dxa"/>
            <w:gridSpan w:val="4"/>
            <w:shd w:val="clear" w:color="auto" w:fill="B8CCE4"/>
          </w:tcPr>
          <w:p w14:paraId="73BE0DB7" w14:textId="77777777" w:rsidR="006C5017" w:rsidRPr="009E1F17" w:rsidRDefault="006C5017" w:rsidP="00D050BE">
            <w:pPr>
              <w:pStyle w:val="NoSpacing"/>
              <w:rPr>
                <w:b/>
                <w:lang w:val="en-GB"/>
              </w:rPr>
            </w:pPr>
            <w:r w:rsidRPr="009E1F17">
              <w:rPr>
                <w:b/>
                <w:lang w:val="en-GB"/>
              </w:rPr>
              <w:t>Literature</w:t>
            </w:r>
          </w:p>
        </w:tc>
      </w:tr>
      <w:tr w:rsidR="006C5017" w:rsidRPr="009E1F17" w14:paraId="07486B8C" w14:textId="77777777" w:rsidTr="00D050BE">
        <w:tc>
          <w:tcPr>
            <w:tcW w:w="3617" w:type="dxa"/>
          </w:tcPr>
          <w:p w14:paraId="5859C2CE" w14:textId="77777777" w:rsidR="006C5017" w:rsidRPr="009E1F17" w:rsidRDefault="006C5017" w:rsidP="00D050BE">
            <w:pPr>
              <w:pStyle w:val="NoSpacing"/>
              <w:rPr>
                <w:b/>
                <w:lang w:val="en-GB"/>
              </w:rPr>
            </w:pPr>
            <w:r w:rsidRPr="009E1F17">
              <w:rPr>
                <w:b/>
                <w:lang w:val="en-GB"/>
              </w:rPr>
              <w:lastRenderedPageBreak/>
              <w:t xml:space="preserve">Basic literature:  </w:t>
            </w:r>
          </w:p>
          <w:p w14:paraId="06933C7F" w14:textId="77777777" w:rsidR="006C5017" w:rsidRPr="009E1F17" w:rsidRDefault="006C5017" w:rsidP="00D050BE">
            <w:pPr>
              <w:jc w:val="center"/>
            </w:pPr>
          </w:p>
        </w:tc>
        <w:tc>
          <w:tcPr>
            <w:tcW w:w="5239" w:type="dxa"/>
            <w:gridSpan w:val="3"/>
          </w:tcPr>
          <w:p w14:paraId="68BBB90D" w14:textId="77777777" w:rsidR="006C5017" w:rsidRPr="009E1F17" w:rsidRDefault="006C5017" w:rsidP="00AB180B">
            <w:pPr>
              <w:pStyle w:val="Heading1"/>
              <w:spacing w:before="120" w:after="120"/>
              <w:rPr>
                <w:b w:val="0"/>
                <w:sz w:val="24"/>
                <w:szCs w:val="24"/>
              </w:rPr>
            </w:pPr>
            <w:r w:rsidRPr="009E1F17">
              <w:rPr>
                <w:b w:val="0"/>
                <w:sz w:val="24"/>
                <w:szCs w:val="24"/>
              </w:rPr>
              <w:t xml:space="preserve">Kotorri, M. 2015. </w:t>
            </w:r>
            <w:r w:rsidRPr="009E1F17">
              <w:rPr>
                <w:b w:val="0"/>
                <w:i/>
                <w:sz w:val="24"/>
                <w:szCs w:val="24"/>
              </w:rPr>
              <w:t>An Investigation into Economic Migration</w:t>
            </w:r>
            <w:r w:rsidRPr="009E1F17">
              <w:rPr>
                <w:b w:val="0"/>
                <w:sz w:val="24"/>
                <w:szCs w:val="24"/>
              </w:rPr>
              <w:t>, Lambert Academic Publishing, Saarbruecken.</w:t>
            </w:r>
          </w:p>
          <w:p w14:paraId="106342A2" w14:textId="04B72741" w:rsidR="006C5017" w:rsidRPr="009E1F17" w:rsidRDefault="006C5017" w:rsidP="00AB180B">
            <w:pPr>
              <w:pStyle w:val="Heading1"/>
              <w:spacing w:before="120" w:after="120"/>
              <w:rPr>
                <w:b w:val="0"/>
                <w:sz w:val="24"/>
                <w:szCs w:val="24"/>
              </w:rPr>
            </w:pPr>
            <w:r w:rsidRPr="009E1F17">
              <w:rPr>
                <w:b w:val="0"/>
                <w:sz w:val="24"/>
                <w:szCs w:val="24"/>
              </w:rPr>
              <w:t xml:space="preserve">Riinvest, 2007. Diaspora and Migration Policies. </w:t>
            </w:r>
          </w:p>
          <w:p w14:paraId="49EC3F62" w14:textId="77777777" w:rsidR="006C5017" w:rsidRPr="009E1F17" w:rsidRDefault="006C5017" w:rsidP="00AB180B">
            <w:pPr>
              <w:rPr>
                <w:b/>
                <w:bCs/>
              </w:rPr>
            </w:pPr>
            <w:r w:rsidRPr="009E1F17">
              <w:rPr>
                <w:b/>
                <w:bCs/>
              </w:rPr>
              <w:t xml:space="preserve">You do NOT have to purchase the most recent version of this textbook. </w:t>
            </w:r>
          </w:p>
        </w:tc>
      </w:tr>
      <w:tr w:rsidR="006C5017" w:rsidRPr="009E1F17" w14:paraId="4E3619E9" w14:textId="77777777" w:rsidTr="00D050BE">
        <w:tc>
          <w:tcPr>
            <w:tcW w:w="3617" w:type="dxa"/>
          </w:tcPr>
          <w:p w14:paraId="00527E47" w14:textId="77777777" w:rsidR="006C5017" w:rsidRPr="009E1F17" w:rsidRDefault="006C5017" w:rsidP="00D050BE">
            <w:pPr>
              <w:pStyle w:val="NoSpacing"/>
              <w:rPr>
                <w:b/>
                <w:lang w:val="en-GB"/>
              </w:rPr>
            </w:pPr>
            <w:r w:rsidRPr="009E1F17">
              <w:rPr>
                <w:b/>
                <w:lang w:val="en-GB"/>
              </w:rPr>
              <w:t>Additional literature:</w:t>
            </w:r>
          </w:p>
        </w:tc>
        <w:tc>
          <w:tcPr>
            <w:tcW w:w="5239" w:type="dxa"/>
            <w:gridSpan w:val="3"/>
          </w:tcPr>
          <w:p w14:paraId="1ED3AA15" w14:textId="77777777" w:rsidR="006C5017" w:rsidRPr="009E1F17" w:rsidRDefault="006C5017" w:rsidP="004A047C">
            <w:pPr>
              <w:tabs>
                <w:tab w:val="left" w:pos="600"/>
              </w:tabs>
            </w:pPr>
            <w:r w:rsidRPr="009E1F17">
              <w:t>Research papers:</w:t>
            </w:r>
          </w:p>
          <w:p w14:paraId="3930B794" w14:textId="77777777" w:rsidR="006C5017" w:rsidRPr="009E1F17" w:rsidRDefault="006C5017" w:rsidP="004A047C">
            <w:pPr>
              <w:tabs>
                <w:tab w:val="left" w:pos="600"/>
              </w:tabs>
            </w:pPr>
            <w:r w:rsidRPr="009E1F17">
              <w:t xml:space="preserve"> </w:t>
            </w:r>
          </w:p>
          <w:p w14:paraId="1CFF7B57" w14:textId="77777777" w:rsidR="006C5017" w:rsidRPr="009E1F17" w:rsidRDefault="006C5017" w:rsidP="004A047C">
            <w:pPr>
              <w:tabs>
                <w:tab w:val="left" w:pos="600"/>
              </w:tabs>
            </w:pPr>
            <w:r w:rsidRPr="009E1F17">
              <w:t>Kotorri, M. 2010. The probability of economic emigration in Kosovo. Eastern European Economics 48: 17–35.</w:t>
            </w:r>
          </w:p>
          <w:p w14:paraId="102B7287" w14:textId="77777777" w:rsidR="006C5017" w:rsidRPr="009E1F17" w:rsidRDefault="006C5017" w:rsidP="004A047C">
            <w:pPr>
              <w:tabs>
                <w:tab w:val="left" w:pos="600"/>
              </w:tabs>
            </w:pPr>
            <w:r w:rsidRPr="009E1F17">
              <w:t xml:space="preserve">Kotorri, M., Holzner, M., Kotorri, V., Çitaku, F., Zherka, P., 2016., The Determinants of economic emigration, with special reference to Kosovo. Diversity of Migration in South-East Europe. Peter Lang Publishing,  </w:t>
            </w:r>
          </w:p>
          <w:p w14:paraId="6DD5682D" w14:textId="77777777" w:rsidR="006C5017" w:rsidRPr="009E1F17" w:rsidRDefault="006C5017" w:rsidP="004A047C">
            <w:pPr>
              <w:tabs>
                <w:tab w:val="left" w:pos="600"/>
              </w:tabs>
            </w:pPr>
            <w:r w:rsidRPr="009E1F17">
              <w:t>Kotorri, M., Rizvanolli, A., Peci, F., Kotorri, V., Çitaku, F., Zherka, P., and Holzner, M. 2013. Migration and its Impacts from the Perspective of the Economic Development of the Home Country: with Special Reference to Kosova. a project supported by the University of Fribourg and Swiss Agency for Development and Cooperation (SDC), Fribourg: University of Fribourg, Interfaculty Institute for Central and Eastern Europe.</w:t>
            </w:r>
          </w:p>
          <w:p w14:paraId="2F0A7CF6" w14:textId="77777777" w:rsidR="006C5017" w:rsidRPr="009E1F17" w:rsidRDefault="006C5017" w:rsidP="004A047C">
            <w:pPr>
              <w:tabs>
                <w:tab w:val="left" w:pos="600"/>
              </w:tabs>
            </w:pPr>
            <w:r w:rsidRPr="009E1F17">
              <w:t>Kotorri, M. 2017. The Probability of Return Conditional on Migration Duration: Evidence from Kosovo. South East European Journal of Economics and Business.</w:t>
            </w:r>
          </w:p>
          <w:p w14:paraId="4068B186" w14:textId="77777777" w:rsidR="006C5017" w:rsidRPr="009E1F17" w:rsidRDefault="006C5017" w:rsidP="004A047C">
            <w:pPr>
              <w:tabs>
                <w:tab w:val="left" w:pos="600"/>
              </w:tabs>
            </w:pPr>
            <w:r w:rsidRPr="009E1F17">
              <w:t>Kotorri, M. and Krasniqi B. 2018. Migration, Remittances and Entrepreneurship: Evidence from Kosovo. Journal of Southeast European and Black Sea Studies.</w:t>
            </w:r>
          </w:p>
          <w:p w14:paraId="0B6F3873" w14:textId="77777777" w:rsidR="006C5017" w:rsidRPr="009E1F17" w:rsidRDefault="006C5017" w:rsidP="004A047C">
            <w:pPr>
              <w:tabs>
                <w:tab w:val="left" w:pos="600"/>
              </w:tabs>
            </w:pPr>
            <w:r w:rsidRPr="009E1F17">
              <w:t>Kotorri, M., and Krasniqi, B., 2018. Managerial Characteristics and Export Performance – Empirical Evidence from Kosovo. South East European Journal of Economics and Business</w:t>
            </w:r>
          </w:p>
          <w:p w14:paraId="44D5544A" w14:textId="77777777" w:rsidR="006C5017" w:rsidRPr="009E1F17" w:rsidRDefault="006C5017" w:rsidP="004A047C">
            <w:pPr>
              <w:tabs>
                <w:tab w:val="left" w:pos="600"/>
              </w:tabs>
            </w:pPr>
            <w:r w:rsidRPr="009E1F17">
              <w:t>McKenzie, David, and Hillel Rapoport. Can migration reduce educational attainment? Evidence from Mexico. The World Bank, 2006.</w:t>
            </w:r>
          </w:p>
          <w:p w14:paraId="470F83C8" w14:textId="77777777" w:rsidR="006C5017" w:rsidRPr="009E1F17" w:rsidRDefault="006C5017" w:rsidP="004A047C">
            <w:pPr>
              <w:tabs>
                <w:tab w:val="left" w:pos="600"/>
              </w:tabs>
            </w:pPr>
            <w:r w:rsidRPr="009E1F17">
              <w:t>Adams Jr, Richard H., and John Page. "Do international migration and remittances reduce poverty in developing countries?." World development 33.10 (2005): 1645-1669.</w:t>
            </w:r>
          </w:p>
          <w:p w14:paraId="393F74E3" w14:textId="77777777" w:rsidR="006C5017" w:rsidRPr="009E1F17" w:rsidRDefault="006C5017" w:rsidP="004A047C">
            <w:pPr>
              <w:tabs>
                <w:tab w:val="left" w:pos="600"/>
              </w:tabs>
            </w:pPr>
            <w:r w:rsidRPr="009E1F17">
              <w:lastRenderedPageBreak/>
              <w:t>Justino, Patricia, and Olga N. Shemyakina. "Remittances and Labour Supply in Post</w:t>
            </w:r>
            <w:r w:rsidRPr="009E1F17">
              <w:rPr>
                <w:rFonts w:ascii="Palatino Linotype" w:hAnsi="Palatino Linotype" w:cs="Palatino Linotype"/>
              </w:rPr>
              <w:t>‐</w:t>
            </w:r>
            <w:r w:rsidRPr="009E1F17">
              <w:t>Conflict Tajikistan." IDS Working Papers 2012.388 (2012): 1-37.</w:t>
            </w:r>
          </w:p>
          <w:p w14:paraId="5273EB26" w14:textId="77777777" w:rsidR="006C5017" w:rsidRPr="009E1F17" w:rsidRDefault="006C5017" w:rsidP="004A047C">
            <w:pPr>
              <w:tabs>
                <w:tab w:val="left" w:pos="600"/>
              </w:tabs>
            </w:pPr>
            <w:r w:rsidRPr="009E1F17">
              <w:t>Adams, R. H., et al. "Remittances, inequality and poverty: Evidence from rural Mexico." Migration and development within and across borders: Research and policy perspectives on internal and international migration (2008): 101-130.</w:t>
            </w:r>
          </w:p>
          <w:p w14:paraId="441103F8" w14:textId="77777777" w:rsidR="006C5017" w:rsidRPr="009E1F17" w:rsidRDefault="006C5017" w:rsidP="004A047C">
            <w:pPr>
              <w:tabs>
                <w:tab w:val="left" w:pos="600"/>
              </w:tabs>
            </w:pPr>
            <w:r w:rsidRPr="009E1F17">
              <w:t>Bayangos, Veronica, and Karel Jansen. "Remittances and competitiveness: The case of the Philippines." World Development 39.10 (2011): 1834-1846.</w:t>
            </w:r>
          </w:p>
          <w:p w14:paraId="5BD221E6" w14:textId="77777777" w:rsidR="006C5017" w:rsidRPr="009E1F17" w:rsidRDefault="006C5017" w:rsidP="004A047C">
            <w:pPr>
              <w:tabs>
                <w:tab w:val="left" w:pos="600"/>
              </w:tabs>
            </w:pPr>
            <w:r w:rsidRPr="009E1F17">
              <w:t>Favell, Adrian, and Randall Hansen. "Markets against politics: migration, EU enlargement and the idea of Europe." Journal of ethnic and migration studies 28.4 (2002): 581-601.</w:t>
            </w:r>
          </w:p>
          <w:p w14:paraId="276B6878" w14:textId="77777777" w:rsidR="006C5017" w:rsidRPr="009E1F17" w:rsidRDefault="006C5017" w:rsidP="004A047C">
            <w:pPr>
              <w:tabs>
                <w:tab w:val="left" w:pos="600"/>
              </w:tabs>
            </w:pPr>
            <w:r w:rsidRPr="009E1F17">
              <w:t xml:space="preserve">Akee, Randall, 2010. Who's leaving? Deciphering immigrant self-selection from a developing country. Economic Development and Cultural Change 58 (2), 323–344. </w:t>
            </w:r>
          </w:p>
          <w:p w14:paraId="5E939D5B" w14:textId="77777777" w:rsidR="006C5017" w:rsidRPr="009E1F17" w:rsidRDefault="006C5017" w:rsidP="004A047C">
            <w:pPr>
              <w:tabs>
                <w:tab w:val="left" w:pos="600"/>
              </w:tabs>
            </w:pPr>
            <w:r w:rsidRPr="009E1F17">
              <w:t xml:space="preserve">Batista, Catia and Aitor Lacuesta, Pedro C. Vicente. 2012. “Testing the ‘brain gain’ hypothesis: Micro evidence from Cape Verde.Journal of Development Economics” Volume 97, pp 32-45. </w:t>
            </w:r>
          </w:p>
          <w:p w14:paraId="60089D20" w14:textId="77777777" w:rsidR="006C5017" w:rsidRPr="009E1F17" w:rsidRDefault="006C5017" w:rsidP="004A047C">
            <w:pPr>
              <w:tabs>
                <w:tab w:val="left" w:pos="600"/>
              </w:tabs>
            </w:pPr>
            <w:r w:rsidRPr="009E1F17">
              <w:t xml:space="preserve">Chiquiar, D., &amp; Hanson, G. (2005). International migration, self-selection, and the distribution of wages:evidence from Mexico and the United States. Journal of Political Economy, 113, 239–281. </w:t>
            </w:r>
          </w:p>
          <w:p w14:paraId="4580B223" w14:textId="77777777" w:rsidR="006C5017" w:rsidRPr="009E1F17" w:rsidRDefault="006C5017" w:rsidP="004A047C">
            <w:pPr>
              <w:tabs>
                <w:tab w:val="left" w:pos="600"/>
              </w:tabs>
            </w:pPr>
            <w:r w:rsidRPr="009E1F17">
              <w:t xml:space="preserve">Cobb-Clark, D. (1993). Immigrant selectivity and wages: The evidence for women. American Economic Review, 83(4), 986–993. </w:t>
            </w:r>
          </w:p>
          <w:p w14:paraId="753EB690" w14:textId="77777777" w:rsidR="006C5017" w:rsidRPr="009E1F17" w:rsidRDefault="006C5017" w:rsidP="004A047C">
            <w:pPr>
              <w:tabs>
                <w:tab w:val="left" w:pos="600"/>
              </w:tabs>
            </w:pPr>
            <w:r w:rsidRPr="009E1F17">
              <w:t xml:space="preserve">McKenzie, David, John Gibson, and Steven Stillman. 2006. “How Important Is Selection? Experimental vs. Non-experimental Measures of the Income Gains from Migration.” World Bank Policy Research Working Paper no. 3906, World Bank, Washington, DC. </w:t>
            </w:r>
          </w:p>
          <w:p w14:paraId="01EEA7F4" w14:textId="77777777" w:rsidR="006C5017" w:rsidRPr="009E1F17" w:rsidRDefault="006C5017" w:rsidP="004A047C">
            <w:pPr>
              <w:tabs>
                <w:tab w:val="left" w:pos="600"/>
              </w:tabs>
            </w:pPr>
            <w:r w:rsidRPr="009E1F17">
              <w:t>Mishra, P. (2006). Emigration and wages in source countries: Evidence from Mexico. IMF Working Paper WP/06/86, International Monetary Fund, March.</w:t>
            </w:r>
          </w:p>
          <w:p w14:paraId="76A4956B" w14:textId="77777777" w:rsidR="006C5017" w:rsidRPr="009E1F17" w:rsidRDefault="006C5017" w:rsidP="004A047C">
            <w:pPr>
              <w:tabs>
                <w:tab w:val="left" w:pos="600"/>
              </w:tabs>
            </w:pPr>
            <w:r w:rsidRPr="009E1F17">
              <w:t>Orrenius, P. M., &amp; Zavodny, M. (2005). Self-selection among undocumented immigrants from Mexico. Journal of Development Economics, 78(1), 215–240.</w:t>
            </w:r>
          </w:p>
          <w:p w14:paraId="399E9660" w14:textId="230516AB" w:rsidR="006C5017" w:rsidRPr="009E1F17" w:rsidRDefault="006C5017" w:rsidP="004A047C">
            <w:pPr>
              <w:tabs>
                <w:tab w:val="left" w:pos="600"/>
              </w:tabs>
            </w:pPr>
            <w:r w:rsidRPr="009E1F17">
              <w:t>The texts will be supplemented with journal articles and current affairs readings drawn from daily newspapers and other internet sources.</w:t>
            </w:r>
          </w:p>
          <w:p w14:paraId="452C43E9" w14:textId="407E2BD4" w:rsidR="006C5017" w:rsidRPr="009E1F17" w:rsidRDefault="006C5017" w:rsidP="004A047C">
            <w:pPr>
              <w:jc w:val="both"/>
              <w:rPr>
                <w:i/>
              </w:rPr>
            </w:pPr>
            <w:r w:rsidRPr="009E1F17">
              <w:rPr>
                <w:i/>
              </w:rPr>
              <w:t xml:space="preserve">Other supplementary materials will be uploaded on </w:t>
            </w:r>
            <w:r w:rsidRPr="009E1F17">
              <w:rPr>
                <w:i/>
              </w:rPr>
              <w:lastRenderedPageBreak/>
              <w:t>the SEMS.</w:t>
            </w:r>
          </w:p>
        </w:tc>
      </w:tr>
    </w:tbl>
    <w:p w14:paraId="0C8CD870" w14:textId="77777777" w:rsidR="00CA054B" w:rsidRPr="009E1F17" w:rsidRDefault="00CA054B" w:rsidP="00CA054B">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CA054B" w:rsidRPr="009E1F17" w14:paraId="54A610C3" w14:textId="77777777" w:rsidTr="00D050BE">
        <w:tc>
          <w:tcPr>
            <w:tcW w:w="8856" w:type="dxa"/>
            <w:gridSpan w:val="2"/>
            <w:shd w:val="clear" w:color="auto" w:fill="B8CCE4"/>
          </w:tcPr>
          <w:p w14:paraId="1257FD88" w14:textId="77777777" w:rsidR="00CA054B" w:rsidRPr="009E1F17" w:rsidRDefault="00CA054B" w:rsidP="00D050BE">
            <w:pPr>
              <w:rPr>
                <w:b/>
              </w:rPr>
            </w:pPr>
            <w:r w:rsidRPr="009E1F17">
              <w:rPr>
                <w:b/>
              </w:rPr>
              <w:t xml:space="preserve">The detailed plan of work:  </w:t>
            </w:r>
          </w:p>
        </w:tc>
      </w:tr>
      <w:tr w:rsidR="00CA054B" w:rsidRPr="009E1F17" w14:paraId="4428B41D" w14:textId="77777777" w:rsidTr="00D050BE">
        <w:tc>
          <w:tcPr>
            <w:tcW w:w="2718" w:type="dxa"/>
            <w:shd w:val="clear" w:color="auto" w:fill="B8CCE4"/>
          </w:tcPr>
          <w:p w14:paraId="01DDF830" w14:textId="77777777" w:rsidR="00CA054B" w:rsidRPr="009E1F17" w:rsidRDefault="00CA054B" w:rsidP="00D050BE">
            <w:pPr>
              <w:rPr>
                <w:b/>
              </w:rPr>
            </w:pPr>
            <w:r w:rsidRPr="009E1F17">
              <w:rPr>
                <w:b/>
              </w:rPr>
              <w:t>Week</w:t>
            </w:r>
          </w:p>
        </w:tc>
        <w:tc>
          <w:tcPr>
            <w:tcW w:w="6138" w:type="dxa"/>
            <w:shd w:val="clear" w:color="auto" w:fill="B8CCE4"/>
          </w:tcPr>
          <w:p w14:paraId="3B86F9C4" w14:textId="77777777" w:rsidR="00CA054B" w:rsidRPr="009E1F17" w:rsidRDefault="00CA054B" w:rsidP="00D050BE">
            <w:pPr>
              <w:rPr>
                <w:b/>
              </w:rPr>
            </w:pPr>
            <w:r w:rsidRPr="009E1F17">
              <w:rPr>
                <w:b/>
              </w:rPr>
              <w:t xml:space="preserve">Topic </w:t>
            </w:r>
          </w:p>
        </w:tc>
      </w:tr>
      <w:tr w:rsidR="00CA054B" w:rsidRPr="009E1F17" w14:paraId="339896AC" w14:textId="77777777" w:rsidTr="00D050BE">
        <w:tc>
          <w:tcPr>
            <w:tcW w:w="2718" w:type="dxa"/>
          </w:tcPr>
          <w:p w14:paraId="68929A32" w14:textId="77777777" w:rsidR="00CA054B" w:rsidRPr="009E1F17" w:rsidRDefault="00CA054B" w:rsidP="00D050BE">
            <w:pPr>
              <w:rPr>
                <w:b/>
              </w:rPr>
            </w:pPr>
            <w:r w:rsidRPr="009E1F17">
              <w:rPr>
                <w:b/>
                <w:i/>
              </w:rPr>
              <w:t>Week 1</w:t>
            </w:r>
          </w:p>
        </w:tc>
        <w:tc>
          <w:tcPr>
            <w:tcW w:w="6138" w:type="dxa"/>
          </w:tcPr>
          <w:p w14:paraId="5B324BF3" w14:textId="09E3700F" w:rsidR="00CA054B" w:rsidRPr="009E1F17" w:rsidRDefault="004A047C" w:rsidP="004A047C">
            <w:r w:rsidRPr="009E1F17">
              <w:t>Introduction to Migration and Remittances: Kotorri, M., Chapter 1</w:t>
            </w:r>
            <w:r w:rsidRPr="009E1F17">
              <w:tab/>
            </w:r>
          </w:p>
        </w:tc>
      </w:tr>
      <w:tr w:rsidR="00CA054B" w:rsidRPr="009E1F17" w14:paraId="2159BF3E" w14:textId="77777777" w:rsidTr="00D050BE">
        <w:tc>
          <w:tcPr>
            <w:tcW w:w="2718" w:type="dxa"/>
          </w:tcPr>
          <w:p w14:paraId="7FD925D0" w14:textId="77777777" w:rsidR="00CA054B" w:rsidRPr="009E1F17" w:rsidRDefault="00CA054B" w:rsidP="00D050BE">
            <w:r w:rsidRPr="009E1F17">
              <w:rPr>
                <w:b/>
                <w:i/>
              </w:rPr>
              <w:t>Week 2</w:t>
            </w:r>
          </w:p>
        </w:tc>
        <w:tc>
          <w:tcPr>
            <w:tcW w:w="6138" w:type="dxa"/>
          </w:tcPr>
          <w:p w14:paraId="551F0042" w14:textId="76DD76DE" w:rsidR="00D050BE" w:rsidRPr="009E1F17" w:rsidRDefault="004A047C" w:rsidP="004A047C">
            <w:r w:rsidRPr="009E1F17">
              <w:t>Introduction to Microeconomic and Macroeconomic Effects of Migration:</w:t>
            </w:r>
            <w:r w:rsidRPr="009E1F17">
              <w:tab/>
              <w:t>Kotorri, M., Chapter 2</w:t>
            </w:r>
          </w:p>
        </w:tc>
      </w:tr>
      <w:tr w:rsidR="00CA054B" w:rsidRPr="009E1F17" w14:paraId="17262C8A" w14:textId="77777777" w:rsidTr="00D050BE">
        <w:tc>
          <w:tcPr>
            <w:tcW w:w="2718" w:type="dxa"/>
          </w:tcPr>
          <w:p w14:paraId="0B0A6A25" w14:textId="77777777" w:rsidR="00CA054B" w:rsidRPr="009E1F17" w:rsidRDefault="00CA054B" w:rsidP="00D050BE">
            <w:r w:rsidRPr="009E1F17">
              <w:rPr>
                <w:b/>
                <w:i/>
              </w:rPr>
              <w:t>Week 3</w:t>
            </w:r>
          </w:p>
        </w:tc>
        <w:tc>
          <w:tcPr>
            <w:tcW w:w="6138" w:type="dxa"/>
          </w:tcPr>
          <w:p w14:paraId="2996BEE5" w14:textId="564D3ED2" w:rsidR="00CA054B" w:rsidRPr="009E1F17" w:rsidRDefault="004A047C" w:rsidP="004A047C">
            <w:pPr>
              <w:rPr>
                <w:color w:val="0000FF" w:themeColor="hyperlink"/>
                <w:u w:val="single"/>
              </w:rPr>
            </w:pPr>
            <w:r w:rsidRPr="009E1F17">
              <w:t>Modelling Emigration: The Individual Approach  Kotorri, M., Chapter 2</w:t>
            </w:r>
          </w:p>
        </w:tc>
      </w:tr>
      <w:tr w:rsidR="00CA054B" w:rsidRPr="009E1F17" w14:paraId="3B318B06" w14:textId="77777777" w:rsidTr="00D050BE">
        <w:tc>
          <w:tcPr>
            <w:tcW w:w="2718" w:type="dxa"/>
          </w:tcPr>
          <w:p w14:paraId="2E875957" w14:textId="77777777" w:rsidR="00CA054B" w:rsidRPr="009E1F17" w:rsidRDefault="00CA054B" w:rsidP="00D050BE">
            <w:r w:rsidRPr="009E1F17">
              <w:rPr>
                <w:b/>
                <w:i/>
              </w:rPr>
              <w:t>Week 4</w:t>
            </w:r>
          </w:p>
        </w:tc>
        <w:tc>
          <w:tcPr>
            <w:tcW w:w="6138" w:type="dxa"/>
          </w:tcPr>
          <w:p w14:paraId="3B8A1417" w14:textId="7F43F569" w:rsidR="00D050BE" w:rsidRPr="009E1F17" w:rsidRDefault="004A047C" w:rsidP="004A047C">
            <w:pPr>
              <w:rPr>
                <w:color w:val="0000FF" w:themeColor="hyperlink"/>
                <w:u w:val="single"/>
              </w:rPr>
            </w:pPr>
            <w:r w:rsidRPr="009E1F17">
              <w:t>Modelling Emigration: The Household Approach  Kotorri, M., Chapter 2</w:t>
            </w:r>
          </w:p>
        </w:tc>
      </w:tr>
      <w:tr w:rsidR="00CA054B" w:rsidRPr="009E1F17" w14:paraId="04707E97" w14:textId="77777777" w:rsidTr="00D050BE">
        <w:tc>
          <w:tcPr>
            <w:tcW w:w="2718" w:type="dxa"/>
          </w:tcPr>
          <w:p w14:paraId="76AF48C2" w14:textId="77777777" w:rsidR="00CA054B" w:rsidRPr="009E1F17" w:rsidRDefault="00CA054B" w:rsidP="00D050BE">
            <w:r w:rsidRPr="009E1F17">
              <w:rPr>
                <w:b/>
                <w:i/>
              </w:rPr>
              <w:t>Week 5</w:t>
            </w:r>
          </w:p>
        </w:tc>
        <w:tc>
          <w:tcPr>
            <w:tcW w:w="6138" w:type="dxa"/>
          </w:tcPr>
          <w:p w14:paraId="110C7757" w14:textId="6B7375BA" w:rsidR="004A047C" w:rsidRPr="009E1F17" w:rsidRDefault="004A047C" w:rsidP="004A047C">
            <w:pPr>
              <w:rPr>
                <w:rStyle w:val="Hyperlink"/>
              </w:rPr>
            </w:pPr>
            <w:r w:rsidRPr="009E1F17">
              <w:t>The Propensity to Emigrate</w:t>
            </w:r>
            <w:r w:rsidRPr="009E1F17">
              <w:rPr>
                <w:rStyle w:val="Hyperlink"/>
              </w:rPr>
              <w:t xml:space="preserve">: </w:t>
            </w:r>
            <w:r w:rsidRPr="009E1F17">
              <w:t>Kotorri, M., Chapter 3</w:t>
            </w:r>
          </w:p>
          <w:p w14:paraId="3D8723AD" w14:textId="65AD1C4F" w:rsidR="00CA054B" w:rsidRPr="009E1F17" w:rsidRDefault="004A047C" w:rsidP="004A047C">
            <w:pPr>
              <w:rPr>
                <w:b/>
                <w:i/>
              </w:rPr>
            </w:pPr>
            <w:r w:rsidRPr="009E1F17">
              <w:rPr>
                <w:b/>
                <w:i/>
              </w:rPr>
              <w:t>Quiz 1</w:t>
            </w:r>
          </w:p>
        </w:tc>
      </w:tr>
      <w:tr w:rsidR="00CA054B" w:rsidRPr="009E1F17" w14:paraId="4E34F278" w14:textId="77777777" w:rsidTr="00D050BE">
        <w:tc>
          <w:tcPr>
            <w:tcW w:w="2718" w:type="dxa"/>
          </w:tcPr>
          <w:p w14:paraId="6AB5190E" w14:textId="77777777" w:rsidR="00CA054B" w:rsidRPr="009E1F17" w:rsidRDefault="00CA054B" w:rsidP="00D050BE">
            <w:r w:rsidRPr="009E1F17">
              <w:rPr>
                <w:b/>
                <w:i/>
              </w:rPr>
              <w:t>Week 6</w:t>
            </w:r>
          </w:p>
        </w:tc>
        <w:tc>
          <w:tcPr>
            <w:tcW w:w="6138" w:type="dxa"/>
          </w:tcPr>
          <w:p w14:paraId="408F22C0" w14:textId="24610F8F" w:rsidR="00CA054B" w:rsidRPr="009E1F17" w:rsidRDefault="004A047C" w:rsidP="004A047C">
            <w:pPr>
              <w:rPr>
                <w:color w:val="0000FF" w:themeColor="hyperlink"/>
                <w:u w:val="single"/>
              </w:rPr>
            </w:pPr>
            <w:r w:rsidRPr="009E1F17">
              <w:rPr>
                <w:rStyle w:val="Hyperlink"/>
                <w:color w:val="auto"/>
                <w:u w:val="none"/>
              </w:rPr>
              <w:t>The Probability of Return Migration</w:t>
            </w:r>
            <w:r w:rsidRPr="009E1F17">
              <w:rPr>
                <w:rStyle w:val="Hyperlink"/>
                <w:color w:val="auto"/>
                <w:u w:val="none"/>
              </w:rPr>
              <w:tab/>
              <w:t>Conditional on the Duration of Migration:</w:t>
            </w:r>
            <w:r w:rsidRPr="009E1F17">
              <w:rPr>
                <w:rStyle w:val="Hyperlink"/>
              </w:rPr>
              <w:t xml:space="preserve"> </w:t>
            </w:r>
            <w:r w:rsidRPr="009E1F17">
              <w:t>Kotorri, M., Chapter 4</w:t>
            </w:r>
          </w:p>
        </w:tc>
      </w:tr>
      <w:tr w:rsidR="00CA054B" w:rsidRPr="009E1F17" w14:paraId="52575049" w14:textId="77777777" w:rsidTr="00D050BE">
        <w:tc>
          <w:tcPr>
            <w:tcW w:w="2718" w:type="dxa"/>
          </w:tcPr>
          <w:p w14:paraId="6046D3D0" w14:textId="77777777" w:rsidR="00CA054B" w:rsidRPr="009E1F17" w:rsidRDefault="00CA054B" w:rsidP="00D050BE">
            <w:r w:rsidRPr="009E1F17">
              <w:rPr>
                <w:b/>
                <w:i/>
              </w:rPr>
              <w:t>Week 7</w:t>
            </w:r>
          </w:p>
        </w:tc>
        <w:tc>
          <w:tcPr>
            <w:tcW w:w="6138" w:type="dxa"/>
          </w:tcPr>
          <w:p w14:paraId="1838B3D2" w14:textId="59D221EF" w:rsidR="00CA054B" w:rsidRPr="009E1F17" w:rsidRDefault="004A047C" w:rsidP="004A047C">
            <w:pPr>
              <w:rPr>
                <w:color w:val="0000FF" w:themeColor="hyperlink"/>
                <w:u w:val="single"/>
              </w:rPr>
            </w:pPr>
            <w:r w:rsidRPr="009E1F17">
              <w:rPr>
                <w:rStyle w:val="Hyperlink"/>
                <w:color w:val="auto"/>
                <w:u w:val="none"/>
              </w:rPr>
              <w:t>Migration and Entrepreneurship:</w:t>
            </w:r>
            <w:r w:rsidRPr="009E1F17">
              <w:rPr>
                <w:rStyle w:val="Hyperlink"/>
              </w:rPr>
              <w:t xml:space="preserve"> </w:t>
            </w:r>
            <w:r w:rsidRPr="009E1F17">
              <w:t>Kotorri, M. and Krasniqi, B. (2018)</w:t>
            </w:r>
          </w:p>
        </w:tc>
      </w:tr>
      <w:tr w:rsidR="00CA054B" w:rsidRPr="009E1F17" w14:paraId="3CFFF3F8" w14:textId="77777777" w:rsidTr="00D050BE">
        <w:tc>
          <w:tcPr>
            <w:tcW w:w="2718" w:type="dxa"/>
          </w:tcPr>
          <w:p w14:paraId="7AAFE7EB" w14:textId="77777777" w:rsidR="00CA054B" w:rsidRPr="009E1F17" w:rsidRDefault="00CA054B" w:rsidP="00D050BE">
            <w:r w:rsidRPr="009E1F17">
              <w:rPr>
                <w:b/>
                <w:i/>
              </w:rPr>
              <w:t>Week 8</w:t>
            </w:r>
          </w:p>
        </w:tc>
        <w:tc>
          <w:tcPr>
            <w:tcW w:w="6138" w:type="dxa"/>
          </w:tcPr>
          <w:p w14:paraId="7BBF5E0E" w14:textId="5166D032" w:rsidR="004A047C" w:rsidRPr="009E1F17" w:rsidRDefault="004A047C" w:rsidP="004A047C">
            <w:r w:rsidRPr="009E1F17">
              <w:t>Migration and Education: McKenzie, David, and Hillel Raport (2006)</w:t>
            </w:r>
          </w:p>
          <w:p w14:paraId="2C89C965" w14:textId="77777777" w:rsidR="00CA054B" w:rsidRPr="009E1F17" w:rsidRDefault="00CA054B" w:rsidP="004A047C">
            <w:pPr>
              <w:widowControl w:val="0"/>
              <w:autoSpaceDE w:val="0"/>
              <w:autoSpaceDN w:val="0"/>
              <w:adjustRightInd w:val="0"/>
              <w:rPr>
                <w:b/>
                <w:i/>
              </w:rPr>
            </w:pPr>
            <w:r w:rsidRPr="009E1F17">
              <w:rPr>
                <w:b/>
                <w:i/>
              </w:rPr>
              <w:t>Quiz 2</w:t>
            </w:r>
          </w:p>
        </w:tc>
      </w:tr>
      <w:tr w:rsidR="00CA054B" w:rsidRPr="009E1F17" w14:paraId="5682CE8E" w14:textId="77777777" w:rsidTr="00D050BE">
        <w:tc>
          <w:tcPr>
            <w:tcW w:w="2718" w:type="dxa"/>
          </w:tcPr>
          <w:p w14:paraId="423F477C" w14:textId="77777777" w:rsidR="00CA054B" w:rsidRPr="009E1F17" w:rsidRDefault="00CA054B" w:rsidP="00D050BE">
            <w:r w:rsidRPr="009E1F17">
              <w:rPr>
                <w:b/>
                <w:i/>
              </w:rPr>
              <w:t>Week 9</w:t>
            </w:r>
          </w:p>
        </w:tc>
        <w:tc>
          <w:tcPr>
            <w:tcW w:w="6138" w:type="dxa"/>
          </w:tcPr>
          <w:p w14:paraId="10A64A73" w14:textId="5DCFBCF6" w:rsidR="00CA054B" w:rsidRPr="009E1F17" w:rsidRDefault="004A047C" w:rsidP="004A047C">
            <w:r w:rsidRPr="009E1F17">
              <w:t>Migration and Poverty: Adams Jr, Richard H., and John Page (2005)</w:t>
            </w:r>
            <w:r w:rsidRPr="009E1F17">
              <w:tab/>
            </w:r>
          </w:p>
        </w:tc>
      </w:tr>
      <w:tr w:rsidR="00CA054B" w:rsidRPr="009E1F17" w14:paraId="01366B72" w14:textId="77777777" w:rsidTr="00D050BE">
        <w:tc>
          <w:tcPr>
            <w:tcW w:w="2718" w:type="dxa"/>
          </w:tcPr>
          <w:p w14:paraId="733B00F0" w14:textId="77777777" w:rsidR="00CA054B" w:rsidRPr="009E1F17" w:rsidRDefault="00CA054B" w:rsidP="00D050BE">
            <w:r w:rsidRPr="009E1F17">
              <w:rPr>
                <w:b/>
                <w:i/>
              </w:rPr>
              <w:t>Week 10</w:t>
            </w:r>
          </w:p>
        </w:tc>
        <w:tc>
          <w:tcPr>
            <w:tcW w:w="6138" w:type="dxa"/>
          </w:tcPr>
          <w:p w14:paraId="011B873A" w14:textId="77777777" w:rsidR="009C20C1" w:rsidRPr="009E1F17" w:rsidRDefault="004A047C" w:rsidP="004A047C">
            <w:r w:rsidRPr="009E1F17">
              <w:t>Migration and Labour Supply</w:t>
            </w:r>
            <w:r w:rsidRPr="009E1F17">
              <w:tab/>
              <w:t xml:space="preserve">    Justino, Patricia, and Olga N. Shemyakina (2012)</w:t>
            </w:r>
          </w:p>
          <w:p w14:paraId="5556E25A" w14:textId="0B62C461" w:rsidR="004A047C" w:rsidRPr="009E1F17" w:rsidRDefault="004A047C" w:rsidP="004A047C">
            <w:pPr>
              <w:rPr>
                <w:b/>
                <w:i/>
              </w:rPr>
            </w:pPr>
            <w:r w:rsidRPr="009E1F17">
              <w:rPr>
                <w:b/>
                <w:i/>
              </w:rPr>
              <w:t>Assignment 1 (handed out; two weeks)</w:t>
            </w:r>
          </w:p>
        </w:tc>
      </w:tr>
      <w:tr w:rsidR="00CA054B" w:rsidRPr="009E1F17" w14:paraId="30CE33FE" w14:textId="77777777" w:rsidTr="00D050BE">
        <w:tc>
          <w:tcPr>
            <w:tcW w:w="2718" w:type="dxa"/>
          </w:tcPr>
          <w:p w14:paraId="1FC4923D" w14:textId="77777777" w:rsidR="00CA054B" w:rsidRPr="009E1F17" w:rsidRDefault="00CA054B" w:rsidP="00D050BE">
            <w:r w:rsidRPr="009E1F17">
              <w:rPr>
                <w:b/>
                <w:i/>
              </w:rPr>
              <w:t>Week 11</w:t>
            </w:r>
          </w:p>
        </w:tc>
        <w:tc>
          <w:tcPr>
            <w:tcW w:w="6138" w:type="dxa"/>
          </w:tcPr>
          <w:p w14:paraId="532AECE0" w14:textId="747757C7" w:rsidR="00CA054B" w:rsidRPr="009E1F17" w:rsidRDefault="004A047C" w:rsidP="004A047C">
            <w:r w:rsidRPr="009E1F17">
              <w:t>Migration and Competitiveness: Bayangos, Veronica, and Karel Jansen (2011)</w:t>
            </w:r>
          </w:p>
        </w:tc>
      </w:tr>
      <w:tr w:rsidR="00CA054B" w:rsidRPr="009E1F17" w14:paraId="7A5C2D5F" w14:textId="77777777" w:rsidTr="00D050BE">
        <w:tc>
          <w:tcPr>
            <w:tcW w:w="2718" w:type="dxa"/>
          </w:tcPr>
          <w:p w14:paraId="71AD5490" w14:textId="77777777" w:rsidR="00CA054B" w:rsidRPr="009E1F17" w:rsidRDefault="00CA054B" w:rsidP="00D050BE">
            <w:r w:rsidRPr="009E1F17">
              <w:rPr>
                <w:b/>
                <w:i/>
              </w:rPr>
              <w:t>Week 12</w:t>
            </w:r>
          </w:p>
        </w:tc>
        <w:tc>
          <w:tcPr>
            <w:tcW w:w="6138" w:type="dxa"/>
          </w:tcPr>
          <w:p w14:paraId="2192087B" w14:textId="2976CCBB" w:rsidR="00CA054B" w:rsidRPr="009E1F17" w:rsidRDefault="004A047C" w:rsidP="004A047C">
            <w:r w:rsidRPr="009E1F17">
              <w:t xml:space="preserve">Migration and Inequality: Adams, R. H., et al. (2008)                               </w:t>
            </w:r>
          </w:p>
        </w:tc>
      </w:tr>
      <w:tr w:rsidR="00CA054B" w:rsidRPr="009E1F17" w14:paraId="7BCFB5B3" w14:textId="77777777" w:rsidTr="00D050BE">
        <w:tc>
          <w:tcPr>
            <w:tcW w:w="2718" w:type="dxa"/>
          </w:tcPr>
          <w:p w14:paraId="3D459BC9" w14:textId="77777777" w:rsidR="00CA054B" w:rsidRPr="009E1F17" w:rsidRDefault="00CA054B" w:rsidP="00D050BE">
            <w:r w:rsidRPr="009E1F17">
              <w:rPr>
                <w:b/>
                <w:i/>
              </w:rPr>
              <w:t>Week 13</w:t>
            </w:r>
          </w:p>
        </w:tc>
        <w:tc>
          <w:tcPr>
            <w:tcW w:w="6138" w:type="dxa"/>
          </w:tcPr>
          <w:p w14:paraId="0D57EBB5" w14:textId="5EA0F4EB" w:rsidR="004A047C" w:rsidRPr="009E1F17" w:rsidRDefault="004A047C" w:rsidP="004A047C">
            <w:r w:rsidRPr="009E1F17">
              <w:t>Migration and EU Policies: Favell, Adrian, and Randall Hansen (2002)</w:t>
            </w:r>
            <w:r w:rsidRPr="009E1F17">
              <w:tab/>
            </w:r>
          </w:p>
          <w:p w14:paraId="327634AE" w14:textId="552B8C22" w:rsidR="00CA054B" w:rsidRPr="009E1F17" w:rsidRDefault="004A047C" w:rsidP="004A047C">
            <w:pPr>
              <w:rPr>
                <w:b/>
                <w:i/>
              </w:rPr>
            </w:pPr>
            <w:r w:rsidRPr="009E1F17">
              <w:rPr>
                <w:b/>
                <w:i/>
              </w:rPr>
              <w:t xml:space="preserve">Quiz 3 </w:t>
            </w:r>
          </w:p>
        </w:tc>
      </w:tr>
      <w:tr w:rsidR="00CA054B" w:rsidRPr="009E1F17" w14:paraId="5279FEB7" w14:textId="77777777" w:rsidTr="00D050BE">
        <w:tc>
          <w:tcPr>
            <w:tcW w:w="2718" w:type="dxa"/>
          </w:tcPr>
          <w:p w14:paraId="6A7A8099" w14:textId="77777777" w:rsidR="00CA054B" w:rsidRPr="009E1F17" w:rsidRDefault="00CA054B" w:rsidP="00D050BE">
            <w:r w:rsidRPr="009E1F17">
              <w:rPr>
                <w:b/>
                <w:i/>
              </w:rPr>
              <w:t>Week 14</w:t>
            </w:r>
          </w:p>
        </w:tc>
        <w:tc>
          <w:tcPr>
            <w:tcW w:w="6138" w:type="dxa"/>
          </w:tcPr>
          <w:p w14:paraId="78A44F10" w14:textId="1E5746FE" w:rsidR="00CA054B" w:rsidRPr="009E1F17" w:rsidRDefault="004A047C" w:rsidP="004A047C">
            <w:r w:rsidRPr="009E1F17">
              <w:t xml:space="preserve">Conclusions and Policy Implications: Kotorri, M., Chapter 7 </w:t>
            </w:r>
          </w:p>
        </w:tc>
      </w:tr>
      <w:tr w:rsidR="00CA054B" w:rsidRPr="009E1F17" w14:paraId="020C0C73" w14:textId="77777777" w:rsidTr="00D050BE">
        <w:tc>
          <w:tcPr>
            <w:tcW w:w="2718" w:type="dxa"/>
          </w:tcPr>
          <w:p w14:paraId="2D2D8D85" w14:textId="77777777" w:rsidR="00CA054B" w:rsidRPr="009E1F17" w:rsidRDefault="00CA054B" w:rsidP="00D050BE">
            <w:r w:rsidRPr="009E1F17">
              <w:rPr>
                <w:b/>
                <w:i/>
              </w:rPr>
              <w:t>Week 15</w:t>
            </w:r>
          </w:p>
        </w:tc>
        <w:tc>
          <w:tcPr>
            <w:tcW w:w="6138" w:type="dxa"/>
          </w:tcPr>
          <w:p w14:paraId="1EC4E182" w14:textId="5AFA5AF9" w:rsidR="00CA054B" w:rsidRPr="009E1F17" w:rsidRDefault="004A047C" w:rsidP="004A047C">
            <w:r w:rsidRPr="009E1F17">
              <w:t>Presentation of Assignment 1</w:t>
            </w:r>
          </w:p>
        </w:tc>
      </w:tr>
    </w:tbl>
    <w:p w14:paraId="2346518D" w14:textId="77777777" w:rsidR="00CA054B" w:rsidRPr="009E1F17" w:rsidRDefault="00CA054B" w:rsidP="00CA054B">
      <w:pPr>
        <w:rPr>
          <w:b/>
        </w:rPr>
      </w:pPr>
    </w:p>
    <w:p w14:paraId="5BB3436C" w14:textId="77777777" w:rsidR="00CA054B" w:rsidRPr="009E1F17" w:rsidRDefault="00CA054B" w:rsidP="00CA054B">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A054B" w:rsidRPr="009E1F17" w14:paraId="1C674534" w14:textId="77777777" w:rsidTr="00D050BE">
        <w:tc>
          <w:tcPr>
            <w:tcW w:w="8856" w:type="dxa"/>
            <w:shd w:val="clear" w:color="auto" w:fill="B8CCE4"/>
          </w:tcPr>
          <w:p w14:paraId="072E75BB" w14:textId="77777777" w:rsidR="00CA054B" w:rsidRPr="009E1F17" w:rsidRDefault="00CA054B" w:rsidP="00D050BE">
            <w:pPr>
              <w:jc w:val="center"/>
              <w:rPr>
                <w:b/>
              </w:rPr>
            </w:pPr>
            <w:r w:rsidRPr="009E1F17">
              <w:rPr>
                <w:b/>
              </w:rPr>
              <w:t>Academic policies and code of conduct:</w:t>
            </w:r>
          </w:p>
        </w:tc>
      </w:tr>
      <w:tr w:rsidR="00CA054B" w:rsidRPr="009E1F17" w14:paraId="28E630C9" w14:textId="77777777" w:rsidTr="00D050BE">
        <w:trPr>
          <w:trHeight w:val="1088"/>
        </w:trPr>
        <w:tc>
          <w:tcPr>
            <w:tcW w:w="8856" w:type="dxa"/>
          </w:tcPr>
          <w:p w14:paraId="40D68D32" w14:textId="77777777" w:rsidR="00CA054B" w:rsidRPr="009E1F17" w:rsidRDefault="00CA054B" w:rsidP="00D050BE">
            <w:pPr>
              <w:rPr>
                <w:b/>
              </w:rPr>
            </w:pPr>
            <w:r w:rsidRPr="009E1F17">
              <w:rPr>
                <w:b/>
              </w:rPr>
              <w:t>Quiz and exam related issues</w:t>
            </w:r>
          </w:p>
          <w:p w14:paraId="01F37E93" w14:textId="77777777" w:rsidR="00CA054B" w:rsidRPr="009E1F17" w:rsidRDefault="00CA054B" w:rsidP="00D050BE">
            <w:r w:rsidRPr="009E1F17">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754B84D9" w14:textId="77777777" w:rsidR="00CA054B" w:rsidRPr="009E1F17" w:rsidRDefault="00CA054B" w:rsidP="00D050BE">
            <w:r w:rsidRPr="009E1F17">
              <w:t>You can only take the Final Exam at an alternative time if you present me with a valid document from an advisor verifying that you have at least 3 exams within 24 hours. Please check UP policy on this matter.</w:t>
            </w:r>
          </w:p>
          <w:p w14:paraId="6D34628E" w14:textId="77777777" w:rsidR="00CA054B" w:rsidRPr="009E1F17" w:rsidRDefault="00CA054B" w:rsidP="00D050BE">
            <w:pPr>
              <w:rPr>
                <w:b/>
              </w:rPr>
            </w:pPr>
            <w:r w:rsidRPr="009E1F17">
              <w:rPr>
                <w:b/>
              </w:rPr>
              <w:t>Cheating</w:t>
            </w:r>
          </w:p>
          <w:p w14:paraId="0DB5DDBF" w14:textId="77777777" w:rsidR="00CA054B" w:rsidRPr="009E1F17" w:rsidRDefault="00CA054B" w:rsidP="00D050BE">
            <w:pPr>
              <w:jc w:val="both"/>
            </w:pPr>
            <w:r w:rsidRPr="009E1F17">
              <w:lastRenderedPageBreak/>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15089B1E" w14:textId="77777777" w:rsidR="00CA054B" w:rsidRPr="009E1F17" w:rsidRDefault="00CA054B" w:rsidP="00D050BE">
            <w:pPr>
              <w:rPr>
                <w:b/>
              </w:rPr>
            </w:pPr>
            <w:r w:rsidRPr="009E1F17">
              <w:rPr>
                <w:b/>
              </w:rPr>
              <w:t>Other</w:t>
            </w:r>
          </w:p>
          <w:p w14:paraId="06338041" w14:textId="77777777" w:rsidR="00CA054B" w:rsidRPr="009E1F17" w:rsidRDefault="00CA054B" w:rsidP="00CA054B">
            <w:pPr>
              <w:pStyle w:val="ListParagraph"/>
              <w:numPr>
                <w:ilvl w:val="0"/>
                <w:numId w:val="4"/>
              </w:numPr>
            </w:pPr>
            <w:r w:rsidRPr="009E1F17">
              <w:t xml:space="preserve">Please read the chapters before you come to class. </w:t>
            </w:r>
          </w:p>
          <w:p w14:paraId="00CBF37E" w14:textId="77777777" w:rsidR="00CA054B" w:rsidRPr="009E1F17" w:rsidRDefault="00CA054B" w:rsidP="00CA054B">
            <w:pPr>
              <w:pStyle w:val="ListParagraph"/>
              <w:numPr>
                <w:ilvl w:val="0"/>
                <w:numId w:val="4"/>
              </w:numPr>
            </w:pPr>
            <w:r w:rsidRPr="009E1F17">
              <w:t>Come to class on time</w:t>
            </w:r>
          </w:p>
          <w:p w14:paraId="2B48CCE4" w14:textId="77777777" w:rsidR="00CA054B" w:rsidRPr="009E1F17" w:rsidRDefault="00CA054B" w:rsidP="00CA054B">
            <w:pPr>
              <w:pStyle w:val="ListParagraph"/>
              <w:numPr>
                <w:ilvl w:val="0"/>
                <w:numId w:val="4"/>
              </w:numPr>
            </w:pPr>
            <w:r w:rsidRPr="009E1F17">
              <w:t>Respect your classmates and don’t forget, they are here to learn.</w:t>
            </w:r>
          </w:p>
          <w:p w14:paraId="22E90F70" w14:textId="77777777" w:rsidR="00CA054B" w:rsidRPr="009E1F17" w:rsidRDefault="00CA054B" w:rsidP="00CA054B">
            <w:pPr>
              <w:pStyle w:val="ListParagraph"/>
              <w:numPr>
                <w:ilvl w:val="0"/>
                <w:numId w:val="4"/>
              </w:numPr>
            </w:pPr>
            <w:r w:rsidRPr="009E1F17">
              <w:t>If you do not understand what I am saying, stop me and ask questions.</w:t>
            </w:r>
          </w:p>
          <w:p w14:paraId="6201FB0A" w14:textId="77777777" w:rsidR="00CA054B" w:rsidRPr="009E1F17" w:rsidRDefault="00CA054B" w:rsidP="00CA054B">
            <w:pPr>
              <w:pStyle w:val="ListParagraph"/>
              <w:numPr>
                <w:ilvl w:val="0"/>
                <w:numId w:val="4"/>
              </w:numPr>
            </w:pPr>
            <w:r w:rsidRPr="009E1F17">
              <w:t xml:space="preserve">Do not talk to your </w:t>
            </w:r>
            <w:r w:rsidR="009C20C1" w:rsidRPr="009E1F17">
              <w:t>neighbours</w:t>
            </w:r>
            <w:r w:rsidRPr="009E1F17">
              <w:t xml:space="preserve"> during class. It distracts the students around you, and it distracts me. </w:t>
            </w:r>
          </w:p>
          <w:p w14:paraId="01088B70" w14:textId="77777777" w:rsidR="00CA054B" w:rsidRPr="009E1F17" w:rsidRDefault="00CA054B" w:rsidP="00CA054B">
            <w:pPr>
              <w:pStyle w:val="ListParagraph"/>
              <w:numPr>
                <w:ilvl w:val="0"/>
                <w:numId w:val="4"/>
              </w:numPr>
            </w:pPr>
            <w:r w:rsidRPr="009E1F17">
              <w:t>Try to participate during lectures and tutorials.</w:t>
            </w:r>
          </w:p>
          <w:p w14:paraId="3FD9E68F" w14:textId="77777777" w:rsidR="00CA054B" w:rsidRPr="009E1F17" w:rsidRDefault="00CA054B" w:rsidP="00CA054B">
            <w:pPr>
              <w:pStyle w:val="ListParagraph"/>
              <w:numPr>
                <w:ilvl w:val="0"/>
                <w:numId w:val="4"/>
              </w:numPr>
            </w:pPr>
            <w:r w:rsidRPr="009E1F17">
              <w:t>Please do not send e-mails trying to negotiate the final grade as this will only have a negative influence on my decision.</w:t>
            </w:r>
          </w:p>
          <w:p w14:paraId="256ECF7F" w14:textId="77777777" w:rsidR="00CA054B" w:rsidRPr="009E1F17" w:rsidRDefault="00CA054B" w:rsidP="00D050BE">
            <w:pPr>
              <w:jc w:val="both"/>
            </w:pPr>
            <w:r w:rsidRPr="009E1F17">
              <w:rPr>
                <w:b/>
              </w:rPr>
              <w:t>I reserve the right to ask you to leave class for the day if you violate any of the above policies.</w:t>
            </w:r>
          </w:p>
          <w:p w14:paraId="271B0E62" w14:textId="77777777" w:rsidR="00CA054B" w:rsidRPr="009E1F17" w:rsidRDefault="00CA054B" w:rsidP="00D050BE">
            <w:pPr>
              <w:tabs>
                <w:tab w:val="left" w:pos="600"/>
              </w:tabs>
              <w:ind w:left="600" w:hanging="600"/>
              <w:rPr>
                <w:b/>
              </w:rPr>
            </w:pPr>
            <w:r w:rsidRPr="009E1F17">
              <w:rPr>
                <w:b/>
              </w:rPr>
              <w:t>Additional information</w:t>
            </w:r>
          </w:p>
          <w:p w14:paraId="540397DF" w14:textId="77777777" w:rsidR="00CA054B" w:rsidRPr="009E1F17" w:rsidRDefault="00CA054B" w:rsidP="00D050BE">
            <w:pPr>
              <w:tabs>
                <w:tab w:val="left" w:pos="1275"/>
              </w:tabs>
              <w:rPr>
                <w:b/>
                <w:i/>
              </w:rPr>
            </w:pPr>
            <w:r w:rsidRPr="009E1F17">
              <w:t xml:space="preserve">Students are expected to attend all scheduled lessons. Regardless of the reason, students may have </w:t>
            </w:r>
            <w:r w:rsidRPr="009E1F17">
              <w:rPr>
                <w:u w:val="single"/>
              </w:rPr>
              <w:t>no more than 3 un-excused absences before their grade is affected</w:t>
            </w:r>
            <w:r w:rsidRPr="009E1F17">
              <w:t xml:space="preserve">.  Each un-excused absence after 3 will lower the student’s course grade by one grade.  This is mandatory policy--there will be </w:t>
            </w:r>
            <w:r w:rsidRPr="009E1F17">
              <w:rPr>
                <w:b/>
              </w:rPr>
              <w:t>no exceptions</w:t>
            </w:r>
            <w:r w:rsidRPr="009E1F17">
              <w:t xml:space="preserve"> to this rule and attendance will be taken on a lecture basis. Additionally, students are expected to come to class prepared to participate in the lesson and take notes. Students should bring to every </w:t>
            </w:r>
            <w:r w:rsidRPr="009E1F17">
              <w:rPr>
                <w:i/>
              </w:rPr>
              <w:t>tutorial</w:t>
            </w:r>
            <w:r w:rsidRPr="009E1F17">
              <w:t xml:space="preserve"> a notebook and a pen or pencil. Smart (mobile) phones and similar electronic devices should be switched off and put away at the beginning of class. Students whose phones or similar devices disrupt class due to excessive ringing or similar </w:t>
            </w:r>
            <w:r w:rsidR="009C20C1" w:rsidRPr="009E1F17">
              <w:t>behaviour</w:t>
            </w:r>
            <w:r w:rsidRPr="009E1F17">
              <w:t xml:space="preserve">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21EA62A4" w14:textId="77777777" w:rsidR="00CA054B" w:rsidRPr="009E1F17" w:rsidRDefault="00CA054B" w:rsidP="00CA054B">
      <w:pPr>
        <w:rPr>
          <w:b/>
        </w:rPr>
      </w:pPr>
    </w:p>
    <w:p w14:paraId="37D6FC54" w14:textId="77777777" w:rsidR="00CA054B" w:rsidRPr="009E1F17" w:rsidRDefault="00CA054B" w:rsidP="00CA054B">
      <w:pPr>
        <w:rPr>
          <w:b/>
        </w:rPr>
      </w:pPr>
    </w:p>
    <w:p w14:paraId="4D9AF8AF" w14:textId="77777777" w:rsidR="00CA054B" w:rsidRPr="009E1F17" w:rsidRDefault="00CA054B" w:rsidP="00CA054B"/>
    <w:p w14:paraId="4D432711" w14:textId="77777777" w:rsidR="009C20C1" w:rsidRPr="009E1F17" w:rsidRDefault="009C20C1" w:rsidP="009C20C1">
      <w:pPr>
        <w:jc w:val="both"/>
      </w:pPr>
    </w:p>
    <w:sectPr w:rsidR="009C20C1" w:rsidRPr="009E1F17" w:rsidSect="00D050BE">
      <w:footerReference w:type="even" r:id="rId9"/>
      <w:footerReference w:type="default" r:id="rId10"/>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2460" w14:textId="77777777" w:rsidR="00177857" w:rsidRDefault="00177857">
      <w:r>
        <w:separator/>
      </w:r>
    </w:p>
  </w:endnote>
  <w:endnote w:type="continuationSeparator" w:id="0">
    <w:p w14:paraId="1A6EA34B" w14:textId="77777777" w:rsidR="00177857" w:rsidRDefault="001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9AAF" w14:textId="77777777" w:rsidR="004A047C" w:rsidRDefault="004A047C" w:rsidP="00D0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E772" w14:textId="77777777" w:rsidR="004A047C" w:rsidRDefault="004A047C" w:rsidP="00D050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9AD6" w14:textId="31504278" w:rsidR="004A047C" w:rsidRDefault="004A047C" w:rsidP="00D0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EC2">
      <w:rPr>
        <w:rStyle w:val="PageNumber"/>
        <w:noProof/>
      </w:rPr>
      <w:t>2</w:t>
    </w:r>
    <w:r>
      <w:rPr>
        <w:rStyle w:val="PageNumber"/>
      </w:rPr>
      <w:fldChar w:fldCharType="end"/>
    </w:r>
  </w:p>
  <w:p w14:paraId="3D4DD590" w14:textId="77777777" w:rsidR="004A047C" w:rsidRDefault="004A047C" w:rsidP="00D050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0A01" w14:textId="77777777" w:rsidR="00177857" w:rsidRDefault="00177857">
      <w:r>
        <w:separator/>
      </w:r>
    </w:p>
  </w:footnote>
  <w:footnote w:type="continuationSeparator" w:id="0">
    <w:p w14:paraId="612229F6" w14:textId="77777777" w:rsidR="00177857" w:rsidRDefault="00177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6E4"/>
    <w:multiLevelType w:val="hybridMultilevel"/>
    <w:tmpl w:val="7EE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676A"/>
    <w:multiLevelType w:val="multilevel"/>
    <w:tmpl w:val="359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F6231"/>
    <w:multiLevelType w:val="hybridMultilevel"/>
    <w:tmpl w:val="7E9485C0"/>
    <w:lvl w:ilvl="0" w:tplc="4FC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E10BD"/>
    <w:multiLevelType w:val="hybridMultilevel"/>
    <w:tmpl w:val="A4B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31766"/>
    <w:multiLevelType w:val="multilevel"/>
    <w:tmpl w:val="B4BE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8"/>
  </w:num>
  <w:num w:numId="5">
    <w:abstractNumId w:val="1"/>
  </w:num>
  <w:num w:numId="6">
    <w:abstractNumId w:val="4"/>
  </w:num>
  <w:num w:numId="7">
    <w:abstractNumId w:val="3"/>
  </w:num>
  <w:num w:numId="8">
    <w:abstractNumId w:val="1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0N7I0MrcwMzQxNDdR0lEKTi0uzszPAykwrAUAtZXttywAAAA="/>
  </w:docVars>
  <w:rsids>
    <w:rsidRoot w:val="00CA054B"/>
    <w:rsid w:val="00177857"/>
    <w:rsid w:val="004A047C"/>
    <w:rsid w:val="006C5017"/>
    <w:rsid w:val="009C20C1"/>
    <w:rsid w:val="009E1F17"/>
    <w:rsid w:val="00A618EF"/>
    <w:rsid w:val="00AB180B"/>
    <w:rsid w:val="00CA054B"/>
    <w:rsid w:val="00D050BE"/>
    <w:rsid w:val="00D9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8E39A"/>
  <w14:defaultImageDpi w14:val="300"/>
  <w15:docId w15:val="{4F4C21C5-4D17-416A-9C8D-5B19C68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4B"/>
    <w:rPr>
      <w:rFonts w:ascii="Times New Roman" w:eastAsia="Times New Roman" w:hAnsi="Times New Roman" w:cs="Times New Roman"/>
      <w:lang w:val="en-GB"/>
    </w:rPr>
  </w:style>
  <w:style w:type="paragraph" w:styleId="Heading1">
    <w:name w:val="heading 1"/>
    <w:basedOn w:val="Normal"/>
    <w:link w:val="Heading1Char"/>
    <w:uiPriority w:val="9"/>
    <w:qFormat/>
    <w:rsid w:val="004A047C"/>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054B"/>
    <w:pPr>
      <w:tabs>
        <w:tab w:val="center" w:pos="4320"/>
        <w:tab w:val="right" w:pos="8640"/>
      </w:tabs>
    </w:pPr>
  </w:style>
  <w:style w:type="character" w:customStyle="1" w:styleId="FooterChar">
    <w:name w:val="Footer Char"/>
    <w:basedOn w:val="DefaultParagraphFont"/>
    <w:link w:val="Footer"/>
    <w:rsid w:val="00CA054B"/>
    <w:rPr>
      <w:rFonts w:ascii="Times New Roman" w:eastAsia="Times New Roman" w:hAnsi="Times New Roman" w:cs="Times New Roman"/>
      <w:lang w:val="en-GB"/>
    </w:rPr>
  </w:style>
  <w:style w:type="character" w:styleId="PageNumber">
    <w:name w:val="page number"/>
    <w:basedOn w:val="DefaultParagraphFont"/>
    <w:rsid w:val="00CA054B"/>
  </w:style>
  <w:style w:type="paragraph" w:styleId="NoSpacing">
    <w:name w:val="No Spacing"/>
    <w:link w:val="NoSpacingChar"/>
    <w:uiPriority w:val="1"/>
    <w:qFormat/>
    <w:rsid w:val="00CA054B"/>
    <w:rPr>
      <w:rFonts w:ascii="Times New Roman" w:eastAsia="Times New Roman" w:hAnsi="Times New Roman" w:cs="Times New Roman"/>
    </w:rPr>
  </w:style>
  <w:style w:type="character" w:customStyle="1" w:styleId="NoSpacingChar">
    <w:name w:val="No Spacing Char"/>
    <w:link w:val="NoSpacing"/>
    <w:uiPriority w:val="1"/>
    <w:rsid w:val="00CA054B"/>
    <w:rPr>
      <w:rFonts w:ascii="Times New Roman" w:eastAsia="Times New Roman" w:hAnsi="Times New Roman" w:cs="Times New Roman"/>
    </w:rPr>
  </w:style>
  <w:style w:type="character" w:styleId="Hyperlink">
    <w:name w:val="Hyperlink"/>
    <w:basedOn w:val="DefaultParagraphFont"/>
    <w:uiPriority w:val="99"/>
    <w:unhideWhenUsed/>
    <w:rsid w:val="00CA054B"/>
    <w:rPr>
      <w:color w:val="0000FF" w:themeColor="hyperlink"/>
      <w:u w:val="single"/>
    </w:rPr>
  </w:style>
  <w:style w:type="paragraph" w:styleId="ListParagraph">
    <w:name w:val="List Paragraph"/>
    <w:basedOn w:val="Normal"/>
    <w:uiPriority w:val="34"/>
    <w:qFormat/>
    <w:rsid w:val="00CA054B"/>
    <w:pPr>
      <w:ind w:left="720"/>
      <w:contextualSpacing/>
    </w:pPr>
  </w:style>
  <w:style w:type="character" w:styleId="FollowedHyperlink">
    <w:name w:val="FollowedHyperlink"/>
    <w:basedOn w:val="DefaultParagraphFont"/>
    <w:uiPriority w:val="99"/>
    <w:semiHidden/>
    <w:unhideWhenUsed/>
    <w:rsid w:val="00D050BE"/>
    <w:rPr>
      <w:color w:val="800080" w:themeColor="followedHyperlink"/>
      <w:u w:val="single"/>
    </w:rPr>
  </w:style>
  <w:style w:type="paragraph" w:styleId="NormalWeb">
    <w:name w:val="Normal (Web)"/>
    <w:basedOn w:val="Normal"/>
    <w:unhideWhenUsed/>
    <w:rsid w:val="009C20C1"/>
    <w:pPr>
      <w:spacing w:before="100" w:beforeAutospacing="1" w:after="100" w:afterAutospacing="1"/>
    </w:pPr>
    <w:rPr>
      <w:rFonts w:eastAsiaTheme="minorEastAsia"/>
      <w:sz w:val="20"/>
      <w:szCs w:val="20"/>
      <w:lang w:val="en-US"/>
    </w:rPr>
  </w:style>
  <w:style w:type="character" w:customStyle="1" w:styleId="Heading1Char">
    <w:name w:val="Heading 1 Char"/>
    <w:basedOn w:val="DefaultParagraphFont"/>
    <w:link w:val="Heading1"/>
    <w:uiPriority w:val="9"/>
    <w:rsid w:val="004A04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8870">
      <w:bodyDiv w:val="1"/>
      <w:marLeft w:val="0"/>
      <w:marRight w:val="0"/>
      <w:marTop w:val="0"/>
      <w:marBottom w:val="0"/>
      <w:divBdr>
        <w:top w:val="none" w:sz="0" w:space="0" w:color="auto"/>
        <w:left w:val="none" w:sz="0" w:space="0" w:color="auto"/>
        <w:bottom w:val="none" w:sz="0" w:space="0" w:color="auto"/>
        <w:right w:val="none" w:sz="0" w:space="0" w:color="auto"/>
      </w:divBdr>
    </w:div>
    <w:div w:id="1444114123">
      <w:bodyDiv w:val="1"/>
      <w:marLeft w:val="0"/>
      <w:marRight w:val="0"/>
      <w:marTop w:val="0"/>
      <w:marBottom w:val="0"/>
      <w:divBdr>
        <w:top w:val="none" w:sz="0" w:space="0" w:color="auto"/>
        <w:left w:val="none" w:sz="0" w:space="0" w:color="auto"/>
        <w:bottom w:val="none" w:sz="0" w:space="0" w:color="auto"/>
        <w:right w:val="none" w:sz="0" w:space="0" w:color="auto"/>
      </w:divBdr>
    </w:div>
    <w:div w:id="182177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ka.kotorri@gmail.com" TargetMode="External"/><Relationship Id="rId3" Type="http://schemas.openxmlformats.org/officeDocument/2006/relationships/settings" Target="settings.xml"/><Relationship Id="rId7" Type="http://schemas.openxmlformats.org/officeDocument/2006/relationships/hyperlink" Target="mailto:mrika.kotorri@uni-p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Driton Qehaja</cp:lastModifiedBy>
  <cp:revision>2</cp:revision>
  <dcterms:created xsi:type="dcterms:W3CDTF">2021-10-06T05:53:00Z</dcterms:created>
  <dcterms:modified xsi:type="dcterms:W3CDTF">2021-10-06T05:53:00Z</dcterms:modified>
</cp:coreProperties>
</file>