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5D" w:rsidRPr="00C10F09" w:rsidRDefault="00C10F09" w:rsidP="00FA3B0B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sq-AL"/>
        </w:rPr>
      </w:pPr>
      <w:r w:rsidRPr="00C10F09">
        <w:rPr>
          <w:rFonts w:ascii="Times New Roman" w:hAnsi="Times New Roman" w:cs="Times New Roman"/>
          <w:b/>
          <w:sz w:val="24"/>
          <w:u w:val="single"/>
          <w:lang w:val="sq-AL"/>
        </w:rPr>
        <w:t>SYLLABUSI</w:t>
      </w:r>
      <w:r w:rsidR="00FA3B0B" w:rsidRPr="00C10F09">
        <w:rPr>
          <w:rFonts w:ascii="Times New Roman" w:hAnsi="Times New Roman" w:cs="Times New Roman"/>
          <w:b/>
          <w:sz w:val="24"/>
          <w:u w:val="single"/>
          <w:lang w:val="sq-AL"/>
        </w:rPr>
        <w:t xml:space="preserve"> i</w:t>
      </w:r>
      <w:r w:rsidR="00117B20">
        <w:rPr>
          <w:rFonts w:ascii="Times New Roman" w:hAnsi="Times New Roman" w:cs="Times New Roman"/>
          <w:b/>
          <w:sz w:val="24"/>
          <w:u w:val="single"/>
          <w:lang w:val="sq-AL"/>
        </w:rPr>
        <w:t xml:space="preserve"> Lëndës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098"/>
        <w:gridCol w:w="2098"/>
        <w:gridCol w:w="2099"/>
      </w:tblGrid>
      <w:tr w:rsidR="00FA3B0B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T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dh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nat Bazike p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r l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nd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</w:t>
            </w:r>
          </w:p>
        </w:tc>
      </w:tr>
      <w:tr w:rsidR="00FA3B0B" w:rsidTr="005C209F">
        <w:trPr>
          <w:trHeight w:val="20"/>
        </w:trPr>
        <w:tc>
          <w:tcPr>
            <w:tcW w:w="3055" w:type="dxa"/>
          </w:tcPr>
          <w:p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Nj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sia Akademike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Fakulteti Ekonomik</w:t>
            </w:r>
          </w:p>
        </w:tc>
      </w:tr>
      <w:tr w:rsidR="00FA3B0B" w:rsidTr="005C209F">
        <w:trPr>
          <w:trHeight w:val="20"/>
        </w:trPr>
        <w:tc>
          <w:tcPr>
            <w:tcW w:w="3055" w:type="dxa"/>
          </w:tcPr>
          <w:p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Titulli i l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nd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:rsidR="00FA3B0B" w:rsidRPr="00C10F09" w:rsidRDefault="0061182A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Sociologji Ekonomike</w:t>
            </w:r>
          </w:p>
        </w:tc>
      </w:tr>
      <w:tr w:rsidR="00FA3B0B" w:rsidTr="005C209F">
        <w:trPr>
          <w:trHeight w:val="20"/>
        </w:trPr>
        <w:tc>
          <w:tcPr>
            <w:tcW w:w="3055" w:type="dxa"/>
          </w:tcPr>
          <w:p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Niveli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Bachelor</w:t>
            </w:r>
          </w:p>
        </w:tc>
      </w:tr>
      <w:tr w:rsidR="00FA3B0B" w:rsidTr="005C209F">
        <w:trPr>
          <w:trHeight w:val="20"/>
        </w:trPr>
        <w:tc>
          <w:tcPr>
            <w:tcW w:w="3055" w:type="dxa"/>
          </w:tcPr>
          <w:p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Statusi i l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nd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:rsidR="00FA3B0B" w:rsidRDefault="0061182A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Zgjedhore</w:t>
            </w:r>
          </w:p>
        </w:tc>
      </w:tr>
      <w:tr w:rsidR="00FA3B0B" w:rsidTr="005C209F">
        <w:trPr>
          <w:trHeight w:val="20"/>
        </w:trPr>
        <w:tc>
          <w:tcPr>
            <w:tcW w:w="3055" w:type="dxa"/>
          </w:tcPr>
          <w:p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Viti i 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studimit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Viti i par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– Semestri i par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</w:p>
        </w:tc>
      </w:tr>
      <w:tr w:rsidR="00FA3B0B" w:rsidTr="005C209F">
        <w:trPr>
          <w:trHeight w:val="20"/>
        </w:trPr>
        <w:tc>
          <w:tcPr>
            <w:tcW w:w="3055" w:type="dxa"/>
          </w:tcPr>
          <w:p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Numri i or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ve p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r jav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2+0</w:t>
            </w:r>
          </w:p>
        </w:tc>
      </w:tr>
      <w:tr w:rsidR="00FA3B0B" w:rsidTr="005C209F">
        <w:trPr>
          <w:trHeight w:val="20"/>
        </w:trPr>
        <w:tc>
          <w:tcPr>
            <w:tcW w:w="3055" w:type="dxa"/>
          </w:tcPr>
          <w:p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ECTS kredit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4</w:t>
            </w:r>
          </w:p>
        </w:tc>
      </w:tr>
      <w:tr w:rsidR="00FA3B0B" w:rsidTr="005C209F">
        <w:trPr>
          <w:trHeight w:val="20"/>
        </w:trPr>
        <w:tc>
          <w:tcPr>
            <w:tcW w:w="3055" w:type="dxa"/>
          </w:tcPr>
          <w:p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Koha/Lokacioni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Fakulteti Ekonomik, Universiteti i Prishtin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s “Hasan Prishtina”</w:t>
            </w:r>
          </w:p>
        </w:tc>
      </w:tr>
      <w:tr w:rsidR="00FA3B0B" w:rsidTr="005C209F">
        <w:trPr>
          <w:trHeight w:val="20"/>
        </w:trPr>
        <w:tc>
          <w:tcPr>
            <w:tcW w:w="3055" w:type="dxa"/>
          </w:tcPr>
          <w:p w:rsidR="00FA3B0B" w:rsidRPr="00C10F09" w:rsidRDefault="00A424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Mësimdhënësi</w:t>
            </w:r>
            <w:r w:rsidR="00FA3B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i l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FA3B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nd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FA3B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:rsidR="00FA3B0B" w:rsidRDefault="0061182A" w:rsidP="0061182A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Dr. Ardian Gola</w:t>
            </w:r>
          </w:p>
        </w:tc>
      </w:tr>
      <w:tr w:rsidR="00FA3B0B" w:rsidTr="005C209F">
        <w:trPr>
          <w:trHeight w:val="20"/>
        </w:trPr>
        <w:tc>
          <w:tcPr>
            <w:tcW w:w="3055" w:type="dxa"/>
          </w:tcPr>
          <w:p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Detajet kontaktuese t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m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simdh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sit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:rsidR="00FA3B0B" w:rsidRDefault="0061182A" w:rsidP="0061182A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Ardian.gola@uni-pr.edu</w:t>
            </w:r>
          </w:p>
        </w:tc>
      </w:tr>
      <w:tr w:rsidR="006A34BC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:rsidR="006A34BC" w:rsidRPr="00FA3B0B" w:rsidRDefault="006A34BC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FA3B0B" w:rsidTr="005C209F">
        <w:trPr>
          <w:trHeight w:val="20"/>
        </w:trPr>
        <w:tc>
          <w:tcPr>
            <w:tcW w:w="3055" w:type="dxa"/>
          </w:tcPr>
          <w:p w:rsidR="00FA3B0B" w:rsidRPr="00C10F09" w:rsidRDefault="005E2F6E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P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rmbajtja e Lëndës:</w:t>
            </w:r>
          </w:p>
        </w:tc>
        <w:tc>
          <w:tcPr>
            <w:tcW w:w="6295" w:type="dxa"/>
            <w:gridSpan w:val="3"/>
          </w:tcPr>
          <w:p w:rsidR="00FA3B0B" w:rsidRDefault="0061182A" w:rsidP="007A39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Kjo 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sht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nj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l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nd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p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 sociologjin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e aktivitetet e ekonomike dhe t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tregut n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shoq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ri kapitaliste. N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esenc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kjo l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nd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synon </w:t>
            </w:r>
            <w:r w:rsidRPr="0061182A">
              <w:rPr>
                <w:rFonts w:ascii="Times New Roman" w:hAnsi="Times New Roman" w:cs="Times New Roman"/>
                <w:sz w:val="24"/>
                <w:lang w:val="sq-AL"/>
              </w:rPr>
              <w:t>të kuptojë se si aktivitetet racionale, ekonomike, lehtësohen, ndryshohen ose pengohen nga angazhimet kolektive, marrëdhëniet shoqërore dhe institucionet sociale.</w:t>
            </w:r>
            <w:r w:rsidR="0094109E">
              <w:rPr>
                <w:rFonts w:ascii="Times New Roman" w:hAnsi="Times New Roman" w:cs="Times New Roman"/>
                <w:sz w:val="24"/>
                <w:lang w:val="sq-AL"/>
              </w:rPr>
              <w:t xml:space="preserve"> Ajo trajton se si variacionet dhe ndryshimet jan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94109E">
              <w:rPr>
                <w:rFonts w:ascii="Times New Roman" w:hAnsi="Times New Roman" w:cs="Times New Roman"/>
                <w:sz w:val="24"/>
                <w:lang w:val="sq-AL"/>
              </w:rPr>
              <w:t xml:space="preserve"> krijuar n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94109E">
              <w:rPr>
                <w:rFonts w:ascii="Times New Roman" w:hAnsi="Times New Roman" w:cs="Times New Roman"/>
                <w:sz w:val="24"/>
                <w:lang w:val="sq-AL"/>
              </w:rPr>
              <w:t xml:space="preserve"> strukturat shoq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94109E">
              <w:rPr>
                <w:rFonts w:ascii="Times New Roman" w:hAnsi="Times New Roman" w:cs="Times New Roman"/>
                <w:sz w:val="24"/>
                <w:lang w:val="sq-AL"/>
              </w:rPr>
              <w:t>rore dhe n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94109E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jetën</w:t>
            </w:r>
            <w:r w:rsidR="0094109E">
              <w:rPr>
                <w:rFonts w:ascii="Times New Roman" w:hAnsi="Times New Roman" w:cs="Times New Roman"/>
                <w:sz w:val="24"/>
                <w:lang w:val="sq-AL"/>
              </w:rPr>
              <w:t xml:space="preserve"> ekonomike, dhe pasojat e bashk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94109E">
              <w:rPr>
                <w:rFonts w:ascii="Times New Roman" w:hAnsi="Times New Roman" w:cs="Times New Roman"/>
                <w:sz w:val="24"/>
                <w:lang w:val="sq-AL"/>
              </w:rPr>
              <w:t xml:space="preserve">punimit, </w:t>
            </w:r>
            <w:proofErr w:type="spellStart"/>
            <w:r w:rsidR="0094109E">
              <w:rPr>
                <w:rFonts w:ascii="Times New Roman" w:hAnsi="Times New Roman" w:cs="Times New Roman"/>
                <w:sz w:val="24"/>
                <w:lang w:val="sq-AL"/>
              </w:rPr>
              <w:t>racionalitetit</w:t>
            </w:r>
            <w:proofErr w:type="spellEnd"/>
            <w:r w:rsidR="0094109E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konkurrencës</w:t>
            </w:r>
            <w:r w:rsidR="0094109E">
              <w:rPr>
                <w:rFonts w:ascii="Times New Roman" w:hAnsi="Times New Roman" w:cs="Times New Roman"/>
                <w:sz w:val="24"/>
                <w:lang w:val="sq-AL"/>
              </w:rPr>
              <w:t xml:space="preserve"> ekonomike, drejt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94109E">
              <w:rPr>
                <w:rFonts w:ascii="Times New Roman" w:hAnsi="Times New Roman" w:cs="Times New Roman"/>
                <w:sz w:val="24"/>
                <w:lang w:val="sq-AL"/>
              </w:rPr>
              <w:t>sis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94109E">
              <w:rPr>
                <w:rFonts w:ascii="Times New Roman" w:hAnsi="Times New Roman" w:cs="Times New Roman"/>
                <w:sz w:val="24"/>
                <w:lang w:val="sq-AL"/>
              </w:rPr>
              <w:t xml:space="preserve">, dhe zhvillimit ekonomik. </w:t>
            </w:r>
          </w:p>
        </w:tc>
      </w:tr>
      <w:tr w:rsidR="00850EA4" w:rsidTr="005C209F">
        <w:trPr>
          <w:trHeight w:val="20"/>
        </w:trPr>
        <w:tc>
          <w:tcPr>
            <w:tcW w:w="3055" w:type="dxa"/>
          </w:tcPr>
          <w:p w:rsidR="00850EA4" w:rsidRPr="00C10F09" w:rsidRDefault="00850EA4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Q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llimet e L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nd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s:</w:t>
            </w:r>
          </w:p>
        </w:tc>
        <w:tc>
          <w:tcPr>
            <w:tcW w:w="6295" w:type="dxa"/>
            <w:gridSpan w:val="3"/>
          </w:tcPr>
          <w:p w:rsidR="00850EA4" w:rsidRDefault="0094109E" w:rsidP="007A39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Kjo l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nd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analizon pjes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t kryesore teorike t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sociologjis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ekonomike – institucionale, rrjetin, fuqin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ë, dhe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qasjen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q-AL"/>
              </w:rPr>
              <w:t>kognitive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– dhe disa nga fushat kryesore – zhvillimin dhe globalizimin. </w:t>
            </w:r>
            <w:r w:rsidRPr="0094109E">
              <w:rPr>
                <w:rFonts w:ascii="Times New Roman" w:hAnsi="Times New Roman" w:cs="Times New Roman"/>
                <w:sz w:val="24"/>
                <w:lang w:val="sq-AL"/>
              </w:rPr>
              <w:t>Një nga qëllimet është të hulumtohet shkalla në të cilën paradigmat e ndryshme teorike shërbejnë si alternativa ndaj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njëri-tjetrit ose si plotësuese t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nj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ri-tjetrit</w:t>
            </w:r>
            <w:r w:rsidR="007A3909">
              <w:rPr>
                <w:rFonts w:ascii="Times New Roman" w:hAnsi="Times New Roman" w:cs="Times New Roman"/>
                <w:sz w:val="24"/>
                <w:lang w:val="sq-AL"/>
              </w:rPr>
              <w:t>.</w:t>
            </w:r>
          </w:p>
        </w:tc>
      </w:tr>
      <w:tr w:rsidR="00850EA4" w:rsidTr="005C209F">
        <w:trPr>
          <w:trHeight w:val="20"/>
        </w:trPr>
        <w:tc>
          <w:tcPr>
            <w:tcW w:w="3055" w:type="dxa"/>
          </w:tcPr>
          <w:p w:rsidR="00850EA4" w:rsidRPr="00C10F09" w:rsidRDefault="00850EA4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Rezultatet e pritura t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m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simnx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nies:</w:t>
            </w:r>
          </w:p>
        </w:tc>
        <w:tc>
          <w:tcPr>
            <w:tcW w:w="6295" w:type="dxa"/>
            <w:gridSpan w:val="3"/>
          </w:tcPr>
          <w:p w:rsidR="00850EA4" w:rsidRDefault="00805A63" w:rsidP="007A39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Pas p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rfundimit 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l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nd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s, nj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studiues do 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jet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gjendje 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:</w:t>
            </w:r>
          </w:p>
          <w:p w:rsidR="00805A63" w:rsidRDefault="00336CC4" w:rsidP="007A390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336CC4">
              <w:rPr>
                <w:rFonts w:ascii="Times New Roman" w:hAnsi="Times New Roman" w:cs="Times New Roman"/>
                <w:sz w:val="24"/>
                <w:lang w:val="sq-AL"/>
              </w:rPr>
              <w:t>Të kuptuarit e ndërlidhjeve midis aspekteve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t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ndryshme</w:t>
            </w:r>
            <w:r w:rsidRPr="00336CC4">
              <w:rPr>
                <w:rFonts w:ascii="Times New Roman" w:hAnsi="Times New Roman" w:cs="Times New Roman"/>
                <w:sz w:val="24"/>
                <w:lang w:val="sq-AL"/>
              </w:rPr>
              <w:t xml:space="preserve"> ekonomike, politike dhe kulturore në vendet në zhvillim;</w:t>
            </w:r>
          </w:p>
          <w:p w:rsidR="00336CC4" w:rsidRDefault="00336CC4" w:rsidP="007A390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336CC4">
              <w:rPr>
                <w:rFonts w:ascii="Times New Roman" w:hAnsi="Times New Roman" w:cs="Times New Roman"/>
                <w:sz w:val="24"/>
                <w:lang w:val="sq-AL"/>
              </w:rPr>
              <w:t>Të kuptojmë ndikimin e marrëdhënieve shoqëro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re dhe të institucioneve shoq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rore</w:t>
            </w:r>
            <w:r w:rsidRPr="00336CC4">
              <w:rPr>
                <w:rFonts w:ascii="Times New Roman" w:hAnsi="Times New Roman" w:cs="Times New Roman"/>
                <w:sz w:val="24"/>
                <w:lang w:val="sq-AL"/>
              </w:rPr>
              <w:t xml:space="preserve"> në zhvillimin ekonomik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.</w:t>
            </w:r>
          </w:p>
          <w:p w:rsidR="00336CC4" w:rsidRDefault="00336CC4" w:rsidP="007A390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336CC4">
              <w:rPr>
                <w:rFonts w:ascii="Times New Roman" w:hAnsi="Times New Roman" w:cs="Times New Roman"/>
                <w:sz w:val="24"/>
                <w:lang w:val="sq-AL"/>
              </w:rPr>
              <w:t>Krahason strategjitë e ndryshme të zhvillimit;</w:t>
            </w:r>
          </w:p>
          <w:p w:rsidR="00336CC4" w:rsidRPr="00336CC4" w:rsidRDefault="00336CC4" w:rsidP="007A390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336CC4">
              <w:rPr>
                <w:rFonts w:ascii="Times New Roman" w:hAnsi="Times New Roman" w:cs="Times New Roman"/>
                <w:sz w:val="24"/>
                <w:lang w:val="sq-AL"/>
              </w:rPr>
              <w:t>Të identif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ikojë dhe të kuptojë pasojat e ndryshimeve</w:t>
            </w:r>
            <w:r w:rsidRPr="00336CC4">
              <w:rPr>
                <w:rFonts w:ascii="Times New Roman" w:hAnsi="Times New Roman" w:cs="Times New Roman"/>
                <w:sz w:val="24"/>
                <w:lang w:val="sq-AL"/>
              </w:rPr>
              <w:t xml:space="preserve"> shoqërore.</w:t>
            </w:r>
          </w:p>
        </w:tc>
      </w:tr>
      <w:tr w:rsidR="00440946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:rsidR="00440946" w:rsidRPr="00C10F09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lastRenderedPageBreak/>
              <w:t xml:space="preserve">Ngarkesa e punës së studentëve </w:t>
            </w:r>
            <w:r w:rsidRPr="00C10F09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(orë në semestër, ECTS)</w:t>
            </w:r>
          </w:p>
        </w:tc>
      </w:tr>
      <w:tr w:rsidR="00440946" w:rsidTr="005C209F">
        <w:trPr>
          <w:trHeight w:val="20"/>
        </w:trPr>
        <w:tc>
          <w:tcPr>
            <w:tcW w:w="3055" w:type="dxa"/>
            <w:shd w:val="clear" w:color="auto" w:fill="BDD6EE" w:themeFill="accent1" w:themeFillTint="66"/>
          </w:tcPr>
          <w:p w:rsidR="00440946" w:rsidRPr="00C10F09" w:rsidRDefault="00C10F0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Aktiviteti</w:t>
            </w:r>
          </w:p>
        </w:tc>
        <w:tc>
          <w:tcPr>
            <w:tcW w:w="2098" w:type="dxa"/>
            <w:shd w:val="clear" w:color="auto" w:fill="BDD6EE" w:themeFill="accent1" w:themeFillTint="66"/>
          </w:tcPr>
          <w:p w:rsidR="00440946" w:rsidRPr="00C10F09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Jav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</w:p>
        </w:tc>
        <w:tc>
          <w:tcPr>
            <w:tcW w:w="2098" w:type="dxa"/>
            <w:shd w:val="clear" w:color="auto" w:fill="BDD6EE" w:themeFill="accent1" w:themeFillTint="66"/>
          </w:tcPr>
          <w:p w:rsidR="00440946" w:rsidRPr="00C10F09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Or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</w:p>
        </w:tc>
        <w:tc>
          <w:tcPr>
            <w:tcW w:w="2099" w:type="dxa"/>
            <w:shd w:val="clear" w:color="auto" w:fill="BDD6EE" w:themeFill="accent1" w:themeFillTint="66"/>
          </w:tcPr>
          <w:p w:rsidR="00440946" w:rsidRPr="00C10F09" w:rsidRDefault="006A34BC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Totali</w:t>
            </w:r>
          </w:p>
        </w:tc>
      </w:tr>
      <w:tr w:rsidR="00D36423" w:rsidTr="005C209F">
        <w:trPr>
          <w:trHeight w:val="20"/>
        </w:trPr>
        <w:tc>
          <w:tcPr>
            <w:tcW w:w="3055" w:type="dxa"/>
          </w:tcPr>
          <w:p w:rsidR="00D36423" w:rsidRDefault="00D36423" w:rsidP="00D36423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>Ligjërata</w:t>
            </w: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  <w:r>
              <w:t>2</w:t>
            </w:r>
          </w:p>
        </w:tc>
        <w:tc>
          <w:tcPr>
            <w:tcW w:w="2099" w:type="dxa"/>
          </w:tcPr>
          <w:p w:rsidR="00D36423" w:rsidRPr="00E757DB" w:rsidRDefault="00D36423" w:rsidP="00D36423">
            <w:pPr>
              <w:jc w:val="center"/>
            </w:pPr>
            <w:r w:rsidRPr="00E757DB">
              <w:t>26</w:t>
            </w:r>
          </w:p>
        </w:tc>
      </w:tr>
      <w:tr w:rsidR="00D36423" w:rsidTr="005C209F">
        <w:trPr>
          <w:trHeight w:val="20"/>
        </w:trPr>
        <w:tc>
          <w:tcPr>
            <w:tcW w:w="3055" w:type="dxa"/>
          </w:tcPr>
          <w:p w:rsidR="00D36423" w:rsidRDefault="00D36423" w:rsidP="00D36423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Seminare (Teori dhe Praktikë)</w:t>
            </w: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</w:p>
        </w:tc>
        <w:tc>
          <w:tcPr>
            <w:tcW w:w="2099" w:type="dxa"/>
          </w:tcPr>
          <w:p w:rsidR="00D36423" w:rsidRPr="00E757DB" w:rsidRDefault="00D36423" w:rsidP="00D36423">
            <w:pPr>
              <w:jc w:val="center"/>
            </w:pPr>
          </w:p>
        </w:tc>
      </w:tr>
      <w:tr w:rsidR="00D36423" w:rsidTr="005C209F">
        <w:trPr>
          <w:trHeight w:val="20"/>
        </w:trPr>
        <w:tc>
          <w:tcPr>
            <w:tcW w:w="3055" w:type="dxa"/>
          </w:tcPr>
          <w:p w:rsidR="00D36423" w:rsidRDefault="00D36423" w:rsidP="00D36423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Raste Studimore</w:t>
            </w: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</w:p>
        </w:tc>
        <w:tc>
          <w:tcPr>
            <w:tcW w:w="2099" w:type="dxa"/>
          </w:tcPr>
          <w:p w:rsidR="00D36423" w:rsidRPr="00E757DB" w:rsidRDefault="00D36423" w:rsidP="00D36423">
            <w:pPr>
              <w:jc w:val="center"/>
            </w:pPr>
          </w:p>
        </w:tc>
      </w:tr>
      <w:tr w:rsidR="00D36423" w:rsidTr="005C209F">
        <w:trPr>
          <w:trHeight w:val="20"/>
        </w:trPr>
        <w:tc>
          <w:tcPr>
            <w:tcW w:w="3055" w:type="dxa"/>
          </w:tcPr>
          <w:p w:rsidR="00D36423" w:rsidRDefault="00D36423" w:rsidP="00D36423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Kontaktet me </w:t>
            </w: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>mësimdhënësin/konsultimet</w:t>
            </w: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</w:p>
        </w:tc>
        <w:tc>
          <w:tcPr>
            <w:tcW w:w="2099" w:type="dxa"/>
          </w:tcPr>
          <w:p w:rsidR="00D36423" w:rsidRPr="00E757DB" w:rsidRDefault="00D36423" w:rsidP="00D36423">
            <w:pPr>
              <w:jc w:val="center"/>
            </w:pPr>
          </w:p>
        </w:tc>
      </w:tr>
      <w:tr w:rsidR="00D36423" w:rsidTr="005C209F">
        <w:trPr>
          <w:trHeight w:val="20"/>
        </w:trPr>
        <w:tc>
          <w:tcPr>
            <w:tcW w:w="3055" w:type="dxa"/>
          </w:tcPr>
          <w:p w:rsidR="00D36423" w:rsidRDefault="00D36423" w:rsidP="00D36423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Ushtrime në Teren</w:t>
            </w: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</w:p>
        </w:tc>
        <w:tc>
          <w:tcPr>
            <w:tcW w:w="2099" w:type="dxa"/>
          </w:tcPr>
          <w:p w:rsidR="00D36423" w:rsidRPr="00E757DB" w:rsidRDefault="00D36423" w:rsidP="00D36423">
            <w:pPr>
              <w:jc w:val="center"/>
            </w:pPr>
          </w:p>
        </w:tc>
      </w:tr>
      <w:tr w:rsidR="00D36423" w:rsidTr="005C209F">
        <w:trPr>
          <w:trHeight w:val="20"/>
        </w:trPr>
        <w:tc>
          <w:tcPr>
            <w:tcW w:w="3055" w:type="dxa"/>
          </w:tcPr>
          <w:p w:rsidR="00D36423" w:rsidRDefault="00D36423" w:rsidP="00D36423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Kollekfiume (Teste)</w:t>
            </w: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  <w:bookmarkStart w:id="0" w:name="_GoBack"/>
            <w:bookmarkEnd w:id="0"/>
            <w:r w:rsidRPr="00E757DB">
              <w:t>2</w:t>
            </w: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  <w:r w:rsidRPr="00E757DB">
              <w:t>2</w:t>
            </w:r>
          </w:p>
        </w:tc>
        <w:tc>
          <w:tcPr>
            <w:tcW w:w="2099" w:type="dxa"/>
          </w:tcPr>
          <w:p w:rsidR="00D36423" w:rsidRPr="00E757DB" w:rsidRDefault="00D36423" w:rsidP="00D36423">
            <w:pPr>
              <w:jc w:val="center"/>
            </w:pPr>
            <w:r w:rsidRPr="00E757DB">
              <w:t>4</w:t>
            </w:r>
          </w:p>
        </w:tc>
      </w:tr>
      <w:tr w:rsidR="00D36423" w:rsidTr="005C209F">
        <w:trPr>
          <w:trHeight w:val="20"/>
        </w:trPr>
        <w:tc>
          <w:tcPr>
            <w:tcW w:w="3055" w:type="dxa"/>
          </w:tcPr>
          <w:p w:rsidR="00D36423" w:rsidRDefault="00D36423" w:rsidP="00D36423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Detyra të Shtëpisë</w:t>
            </w: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  <w:r>
              <w:t>1</w:t>
            </w:r>
          </w:p>
        </w:tc>
        <w:tc>
          <w:tcPr>
            <w:tcW w:w="2099" w:type="dxa"/>
          </w:tcPr>
          <w:p w:rsidR="00D36423" w:rsidRPr="00E757DB" w:rsidRDefault="00D36423" w:rsidP="00D36423">
            <w:pPr>
              <w:jc w:val="center"/>
            </w:pPr>
            <w:r w:rsidRPr="00E757DB">
              <w:t>10</w:t>
            </w:r>
          </w:p>
        </w:tc>
      </w:tr>
      <w:tr w:rsidR="00D36423" w:rsidTr="005C209F">
        <w:trPr>
          <w:trHeight w:val="20"/>
        </w:trPr>
        <w:tc>
          <w:tcPr>
            <w:tcW w:w="3055" w:type="dxa"/>
          </w:tcPr>
          <w:p w:rsidR="00D36423" w:rsidRDefault="00D36423" w:rsidP="00D36423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Studimit vetanake të studentit </w:t>
            </w: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>(në bibliotekë ose në shtëpi)</w:t>
            </w: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  <w:r>
              <w:t>3</w:t>
            </w:r>
          </w:p>
        </w:tc>
        <w:tc>
          <w:tcPr>
            <w:tcW w:w="2099" w:type="dxa"/>
          </w:tcPr>
          <w:p w:rsidR="00D36423" w:rsidRPr="00E757DB" w:rsidRDefault="00D36423" w:rsidP="00D36423">
            <w:pPr>
              <w:jc w:val="center"/>
            </w:pPr>
            <w:r>
              <w:t>45</w:t>
            </w:r>
          </w:p>
        </w:tc>
      </w:tr>
      <w:tr w:rsidR="00D36423" w:rsidTr="005C209F">
        <w:trPr>
          <w:trHeight w:val="20"/>
        </w:trPr>
        <w:tc>
          <w:tcPr>
            <w:tcW w:w="3055" w:type="dxa"/>
          </w:tcPr>
          <w:p w:rsidR="00D36423" w:rsidRDefault="00D36423" w:rsidP="00D36423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Përgatitja për provimin final</w:t>
            </w: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</w:p>
        </w:tc>
        <w:tc>
          <w:tcPr>
            <w:tcW w:w="2099" w:type="dxa"/>
          </w:tcPr>
          <w:p w:rsidR="00D36423" w:rsidRPr="00E757DB" w:rsidRDefault="00D36423" w:rsidP="00D36423">
            <w:pPr>
              <w:jc w:val="center"/>
            </w:pPr>
          </w:p>
        </w:tc>
      </w:tr>
      <w:tr w:rsidR="00D36423" w:rsidTr="005C209F">
        <w:trPr>
          <w:trHeight w:val="20"/>
        </w:trPr>
        <w:tc>
          <w:tcPr>
            <w:tcW w:w="3055" w:type="dxa"/>
          </w:tcPr>
          <w:p w:rsidR="00D36423" w:rsidRDefault="00D36423" w:rsidP="00D36423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Vlerësimi</w:t>
            </w: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</w:p>
        </w:tc>
        <w:tc>
          <w:tcPr>
            <w:tcW w:w="2099" w:type="dxa"/>
          </w:tcPr>
          <w:p w:rsidR="00D36423" w:rsidRPr="00E757DB" w:rsidRDefault="00D36423" w:rsidP="00D36423">
            <w:pPr>
              <w:jc w:val="center"/>
            </w:pPr>
          </w:p>
        </w:tc>
      </w:tr>
      <w:tr w:rsidR="00D36423" w:rsidTr="005C209F">
        <w:trPr>
          <w:trHeight w:val="20"/>
        </w:trPr>
        <w:tc>
          <w:tcPr>
            <w:tcW w:w="3055" w:type="dxa"/>
          </w:tcPr>
          <w:p w:rsidR="00D36423" w:rsidRDefault="00D36423" w:rsidP="00D36423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Projektet, prezantimet etj. </w:t>
            </w: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D36423" w:rsidRPr="00E757DB" w:rsidRDefault="00D36423" w:rsidP="00D36423">
            <w:pPr>
              <w:jc w:val="center"/>
            </w:pPr>
            <w:r>
              <w:t>1</w:t>
            </w:r>
          </w:p>
        </w:tc>
        <w:tc>
          <w:tcPr>
            <w:tcW w:w="2099" w:type="dxa"/>
          </w:tcPr>
          <w:p w:rsidR="00D36423" w:rsidRPr="00E757DB" w:rsidRDefault="00D36423" w:rsidP="00D36423">
            <w:pPr>
              <w:jc w:val="center"/>
            </w:pPr>
            <w:r>
              <w:t>15</w:t>
            </w:r>
          </w:p>
        </w:tc>
      </w:tr>
      <w:tr w:rsidR="00440946" w:rsidTr="005C209F">
        <w:trPr>
          <w:trHeight w:val="20"/>
        </w:trPr>
        <w:tc>
          <w:tcPr>
            <w:tcW w:w="3055" w:type="dxa"/>
            <w:shd w:val="clear" w:color="auto" w:fill="BDD6EE" w:themeFill="accent1" w:themeFillTint="66"/>
          </w:tcPr>
          <w:p w:rsidR="00440946" w:rsidRPr="00C10F09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Totali</w:t>
            </w:r>
          </w:p>
        </w:tc>
        <w:tc>
          <w:tcPr>
            <w:tcW w:w="2098" w:type="dxa"/>
            <w:shd w:val="clear" w:color="auto" w:fill="BDD6EE" w:themeFill="accent1" w:themeFillTint="66"/>
          </w:tcPr>
          <w:p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098" w:type="dxa"/>
            <w:shd w:val="clear" w:color="auto" w:fill="BDD6EE" w:themeFill="accent1" w:themeFillTint="66"/>
          </w:tcPr>
          <w:p w:rsidR="00440946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40946" w:rsidRPr="006A34BC" w:rsidRDefault="006962EF" w:rsidP="00D364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sz w:val="24"/>
                <w:lang w:val="sq-AL"/>
              </w:rPr>
              <w:t>100</w:t>
            </w:r>
          </w:p>
        </w:tc>
      </w:tr>
      <w:tr w:rsidR="006962EF" w:rsidTr="005C209F">
        <w:trPr>
          <w:trHeight w:val="20"/>
        </w:trPr>
        <w:tc>
          <w:tcPr>
            <w:tcW w:w="3055" w:type="dxa"/>
          </w:tcPr>
          <w:p w:rsidR="006962EF" w:rsidRPr="00C10F09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Metodologjia e M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simdh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nies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:rsidR="006962EF" w:rsidRDefault="006962EF" w:rsidP="00336C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6962EF">
              <w:rPr>
                <w:rFonts w:ascii="Times New Roman" w:hAnsi="Times New Roman" w:cs="Times New Roman"/>
                <w:sz w:val="24"/>
                <w:lang w:val="sq-AL"/>
              </w:rPr>
              <w:t>Procesi i mës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imdhënies organizohet nëpërmjet ligj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ratave</w:t>
            </w:r>
            <w:r w:rsidRPr="006962EF">
              <w:rPr>
                <w:rFonts w:ascii="Times New Roman" w:hAnsi="Times New Roman" w:cs="Times New Roman"/>
                <w:sz w:val="24"/>
                <w:lang w:val="sq-AL"/>
              </w:rPr>
              <w:t xml:space="preserve"> duke zbatua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 diskutimet interaktive, pun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ekipore</w:t>
            </w:r>
            <w:r w:rsidRPr="006962EF">
              <w:rPr>
                <w:rFonts w:ascii="Times New Roman" w:hAnsi="Times New Roman" w:cs="Times New Roman"/>
                <w:sz w:val="24"/>
                <w:lang w:val="sq-AL"/>
              </w:rPr>
              <w:t xml:space="preserve"> dhe prezantimet e seminareve nga studentët, të cilat do të diskutohen gjatë klasës.</w:t>
            </w:r>
          </w:p>
        </w:tc>
      </w:tr>
      <w:tr w:rsidR="00440946" w:rsidTr="005C209F">
        <w:trPr>
          <w:trHeight w:val="20"/>
        </w:trPr>
        <w:tc>
          <w:tcPr>
            <w:tcW w:w="3055" w:type="dxa"/>
          </w:tcPr>
          <w:p w:rsidR="00440946" w:rsidRPr="00C10F09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Metodat e Vler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simit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:rsidR="00440946" w:rsidRDefault="006962EF" w:rsidP="00336C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6962EF">
              <w:rPr>
                <w:rFonts w:ascii="Times New Roman" w:hAnsi="Times New Roman" w:cs="Times New Roman"/>
                <w:sz w:val="24"/>
                <w:lang w:val="sq-AL"/>
              </w:rPr>
              <w:t>10% pjesëmarrje aktive në klasë; Përgatitja 10% dhe prezantimi i një seminari; Test 1 = 40%; Test 2 = 40%.</w:t>
            </w:r>
          </w:p>
        </w:tc>
      </w:tr>
      <w:tr w:rsidR="006962EF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:rsidR="006962EF" w:rsidRPr="00C10F09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Literatura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</w:tr>
      <w:tr w:rsidR="006962EF" w:rsidTr="005C209F">
        <w:trPr>
          <w:trHeight w:val="20"/>
        </w:trPr>
        <w:tc>
          <w:tcPr>
            <w:tcW w:w="3055" w:type="dxa"/>
          </w:tcPr>
          <w:p w:rsidR="006962EF" w:rsidRPr="00C10F09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Literatura baz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:rsidR="00336CC4" w:rsidRPr="00E757DB" w:rsidRDefault="00336CC4" w:rsidP="00336C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57DB">
              <w:rPr>
                <w:rFonts w:ascii="Times New Roman" w:eastAsia="Times New Roman" w:hAnsi="Times New Roman"/>
                <w:sz w:val="24"/>
                <w:szCs w:val="24"/>
              </w:rPr>
              <w:t xml:space="preserve">The Sociology of Economic Life [Paperback]; Mark </w:t>
            </w:r>
            <w:proofErr w:type="spellStart"/>
            <w:r w:rsidRPr="00E757DB">
              <w:rPr>
                <w:rFonts w:ascii="Times New Roman" w:eastAsia="Times New Roman" w:hAnsi="Times New Roman"/>
                <w:sz w:val="24"/>
                <w:szCs w:val="24"/>
              </w:rPr>
              <w:t>Granovetter</w:t>
            </w:r>
            <w:proofErr w:type="spellEnd"/>
            <w:r w:rsidRPr="00E757DB">
              <w:rPr>
                <w:rFonts w:ascii="Times New Roman" w:eastAsia="Times New Roman" w:hAnsi="Times New Roman"/>
                <w:sz w:val="24"/>
                <w:szCs w:val="24"/>
              </w:rPr>
              <w:t xml:space="preserve">, Richard </w:t>
            </w:r>
            <w:proofErr w:type="spellStart"/>
            <w:r w:rsidRPr="00E757DB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117B20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Pr="00E757DB">
              <w:rPr>
                <w:rFonts w:ascii="Times New Roman" w:eastAsia="Times New Roman" w:hAnsi="Times New Roman"/>
                <w:sz w:val="24"/>
                <w:szCs w:val="24"/>
              </w:rPr>
              <w:t>edberg</w:t>
            </w:r>
            <w:proofErr w:type="spellEnd"/>
            <w:r w:rsidRPr="00E757D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757DB">
              <w:rPr>
                <w:rFonts w:ascii="Times New Roman" w:eastAsia="Times New Roman" w:hAnsi="Times New Roman"/>
                <w:bCs/>
                <w:sz w:val="24"/>
                <w:szCs w:val="24"/>
              </w:rPr>
              <w:t>January 11, 2011</w:t>
            </w:r>
            <w:r w:rsidRPr="00E757DB">
              <w:rPr>
                <w:rFonts w:ascii="Times New Roman" w:eastAsia="Times New Roman" w:hAnsi="Times New Roman"/>
                <w:sz w:val="24"/>
                <w:szCs w:val="24"/>
              </w:rPr>
              <w:t>, ISBN-10:</w:t>
            </w:r>
            <w:r w:rsidRPr="00E757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0813344557, </w:t>
            </w:r>
            <w:r w:rsidRPr="00E757DB">
              <w:rPr>
                <w:rFonts w:ascii="Times New Roman" w:eastAsia="Times New Roman" w:hAnsi="Times New Roman"/>
                <w:sz w:val="24"/>
                <w:szCs w:val="24"/>
              </w:rPr>
              <w:t>ISBN-13:</w:t>
            </w:r>
            <w:r w:rsidRPr="00E757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978-0813344553</w:t>
            </w:r>
            <w:r w:rsidRPr="00E757DB">
              <w:rPr>
                <w:rFonts w:ascii="Times New Roman" w:eastAsia="Times New Roman" w:hAnsi="Times New Roman"/>
                <w:sz w:val="24"/>
                <w:szCs w:val="24"/>
              </w:rPr>
              <w:t xml:space="preserve"> | Edition: </w:t>
            </w:r>
            <w:r w:rsidRPr="00E757DB">
              <w:rPr>
                <w:rFonts w:ascii="Times New Roman" w:eastAsia="Times New Roman" w:hAnsi="Times New Roman"/>
                <w:bCs/>
                <w:sz w:val="24"/>
                <w:szCs w:val="24"/>
              </w:rPr>
              <w:t>Third Edition.</w:t>
            </w:r>
          </w:p>
          <w:p w:rsidR="00336CC4" w:rsidRPr="00E757DB" w:rsidRDefault="00336CC4" w:rsidP="00336C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57DB">
              <w:rPr>
                <w:rFonts w:ascii="Times New Roman" w:eastAsia="Times New Roman" w:hAnsi="Times New Roman"/>
                <w:sz w:val="24"/>
                <w:szCs w:val="24"/>
              </w:rPr>
              <w:t xml:space="preserve">On Being Nonprofit: A Conceptual and Policy Primer, Peter </w:t>
            </w:r>
            <w:proofErr w:type="spellStart"/>
            <w:r w:rsidRPr="00E757DB">
              <w:rPr>
                <w:rFonts w:ascii="Times New Roman" w:eastAsia="Times New Roman" w:hAnsi="Times New Roman"/>
                <w:sz w:val="24"/>
                <w:szCs w:val="24"/>
              </w:rPr>
              <w:t>Frumkin</w:t>
            </w:r>
            <w:proofErr w:type="spellEnd"/>
            <w:r w:rsidRPr="00E757D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757DB">
              <w:rPr>
                <w:rFonts w:ascii="Times New Roman" w:eastAsia="Times New Roman" w:hAnsi="Times New Roman"/>
                <w:sz w:val="24"/>
                <w:szCs w:val="24"/>
              </w:rPr>
              <w:t>2002..</w:t>
            </w:r>
            <w:proofErr w:type="gramEnd"/>
            <w:r w:rsidRPr="00E757DB">
              <w:rPr>
                <w:rFonts w:ascii="Times New Roman" w:eastAsia="Times New Roman" w:hAnsi="Times New Roman"/>
                <w:sz w:val="24"/>
                <w:szCs w:val="24"/>
              </w:rPr>
              <w:t xml:space="preserve"> Cambridge:</w:t>
            </w:r>
          </w:p>
          <w:p w:rsidR="006962EF" w:rsidRPr="00A4240B" w:rsidRDefault="00336CC4" w:rsidP="00336CC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E757DB">
              <w:rPr>
                <w:rFonts w:ascii="Times New Roman" w:eastAsia="Times New Roman" w:hAnsi="Times New Roman"/>
                <w:sz w:val="24"/>
                <w:szCs w:val="24"/>
              </w:rPr>
              <w:t xml:space="preserve">The Handbook of Economic Sociology, Second Edition [Paperback], </w:t>
            </w:r>
            <w:r w:rsidRPr="00E757DB">
              <w:rPr>
                <w:rFonts w:ascii="Times New Roman" w:eastAsia="Times New Roman" w:hAnsi="Times New Roman"/>
                <w:sz w:val="24"/>
                <w:szCs w:val="24"/>
                <w:u w:color="002C84"/>
              </w:rPr>
              <w:t xml:space="preserve">Neil J. </w:t>
            </w:r>
            <w:proofErr w:type="spellStart"/>
            <w:r w:rsidRPr="00E757DB">
              <w:rPr>
                <w:rFonts w:ascii="Times New Roman" w:eastAsia="Times New Roman" w:hAnsi="Times New Roman"/>
                <w:sz w:val="24"/>
                <w:szCs w:val="24"/>
                <w:u w:color="002C84"/>
              </w:rPr>
              <w:t>Smelser</w:t>
            </w:r>
            <w:proofErr w:type="spellEnd"/>
            <w:r w:rsidRPr="00E757DB">
              <w:rPr>
                <w:rFonts w:ascii="Times New Roman" w:eastAsia="Times New Roman" w:hAnsi="Times New Roman"/>
                <w:sz w:val="24"/>
                <w:szCs w:val="24"/>
              </w:rPr>
              <w:t xml:space="preserve"> (Editor), </w:t>
            </w:r>
            <w:r w:rsidRPr="00E757DB">
              <w:rPr>
                <w:rFonts w:ascii="Times New Roman" w:eastAsia="Times New Roman" w:hAnsi="Times New Roman"/>
                <w:sz w:val="24"/>
                <w:szCs w:val="24"/>
                <w:u w:color="002C84"/>
              </w:rPr>
              <w:t xml:space="preserve">Richard </w:t>
            </w:r>
            <w:proofErr w:type="spellStart"/>
            <w:r w:rsidRPr="00E757DB">
              <w:rPr>
                <w:rFonts w:ascii="Times New Roman" w:eastAsia="Times New Roman" w:hAnsi="Times New Roman"/>
                <w:sz w:val="24"/>
                <w:szCs w:val="24"/>
                <w:u w:color="002C84"/>
              </w:rPr>
              <w:t>S</w:t>
            </w:r>
            <w:r w:rsidR="00117B20">
              <w:rPr>
                <w:rFonts w:ascii="Times New Roman" w:eastAsia="Times New Roman" w:hAnsi="Times New Roman"/>
                <w:sz w:val="24"/>
                <w:szCs w:val="24"/>
                <w:u w:color="002C84"/>
              </w:rPr>
              <w:t>w</w:t>
            </w:r>
            <w:r w:rsidRPr="00E757DB">
              <w:rPr>
                <w:rFonts w:ascii="Times New Roman" w:eastAsia="Times New Roman" w:hAnsi="Times New Roman"/>
                <w:sz w:val="24"/>
                <w:szCs w:val="24"/>
                <w:u w:color="002C84"/>
              </w:rPr>
              <w:t>edberg</w:t>
            </w:r>
            <w:proofErr w:type="spellEnd"/>
            <w:r w:rsidRPr="00E757DB">
              <w:rPr>
                <w:rFonts w:ascii="Times New Roman" w:eastAsia="Times New Roman" w:hAnsi="Times New Roman"/>
                <w:sz w:val="24"/>
                <w:szCs w:val="24"/>
              </w:rPr>
              <w:t xml:space="preserve"> (Editor)</w:t>
            </w:r>
          </w:p>
        </w:tc>
      </w:tr>
      <w:tr w:rsidR="006962EF" w:rsidTr="005C209F">
        <w:trPr>
          <w:trHeight w:val="20"/>
        </w:trPr>
        <w:tc>
          <w:tcPr>
            <w:tcW w:w="3055" w:type="dxa"/>
          </w:tcPr>
          <w:p w:rsidR="006962EF" w:rsidRPr="00C10F09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Literatura shtes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:rsidR="006962EF" w:rsidRPr="00336CC4" w:rsidRDefault="00336CC4" w:rsidP="00336CC4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Gjatë ligj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ratave dokumente/artikuj t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fotokopjuar do të shpërndahen p</w:t>
            </w:r>
            <w:r w:rsidRPr="00336CC4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 çështjet aktuale zhvillimore</w:t>
            </w:r>
            <w:r w:rsidRPr="00336CC4">
              <w:rPr>
                <w:rFonts w:ascii="Times New Roman" w:hAnsi="Times New Roman" w:cs="Times New Roman"/>
                <w:sz w:val="24"/>
                <w:lang w:val="sq-AL"/>
              </w:rPr>
              <w:t>.</w:t>
            </w:r>
          </w:p>
        </w:tc>
      </w:tr>
    </w:tbl>
    <w:p w:rsidR="00FA3B0B" w:rsidRDefault="00FA3B0B" w:rsidP="00FA3B0B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</w:p>
    <w:p w:rsidR="005C209F" w:rsidRDefault="005C209F" w:rsidP="00FA3B0B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</w:p>
    <w:p w:rsidR="005C209F" w:rsidRDefault="005C209F" w:rsidP="00FA3B0B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52019" w:rsidTr="006A34BC">
        <w:tc>
          <w:tcPr>
            <w:tcW w:w="9350" w:type="dxa"/>
            <w:gridSpan w:val="2"/>
            <w:shd w:val="clear" w:color="auto" w:fill="BDD6EE" w:themeFill="accent1" w:themeFillTint="66"/>
          </w:tcPr>
          <w:p w:rsidR="00552019" w:rsidRPr="00C10F09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lastRenderedPageBreak/>
              <w:t>Plani i detajuar i pun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s:</w:t>
            </w:r>
          </w:p>
        </w:tc>
      </w:tr>
      <w:tr w:rsidR="00552019" w:rsidTr="005B3AF3">
        <w:tc>
          <w:tcPr>
            <w:tcW w:w="1705" w:type="dxa"/>
            <w:shd w:val="clear" w:color="auto" w:fill="BDD6EE" w:themeFill="accent1" w:themeFillTint="66"/>
          </w:tcPr>
          <w:p w:rsidR="00552019" w:rsidRPr="00C10F09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Java</w:t>
            </w:r>
          </w:p>
        </w:tc>
        <w:tc>
          <w:tcPr>
            <w:tcW w:w="7645" w:type="dxa"/>
            <w:shd w:val="clear" w:color="auto" w:fill="BDD6EE" w:themeFill="accent1" w:themeFillTint="66"/>
          </w:tcPr>
          <w:p w:rsidR="00552019" w:rsidRPr="00C10F09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Temat</w:t>
            </w:r>
          </w:p>
        </w:tc>
      </w:tr>
      <w:tr w:rsidR="00552019" w:rsidTr="005B3AF3">
        <w:tc>
          <w:tcPr>
            <w:tcW w:w="1705" w:type="dxa"/>
          </w:tcPr>
          <w:p w:rsidR="00552019" w:rsidRPr="006A34BC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</w:t>
            </w:r>
          </w:p>
        </w:tc>
        <w:tc>
          <w:tcPr>
            <w:tcW w:w="7645" w:type="dxa"/>
          </w:tcPr>
          <w:p w:rsidR="00336CC4" w:rsidRPr="00336CC4" w:rsidRDefault="00336CC4" w:rsidP="00336CC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336CC4">
              <w:rPr>
                <w:rFonts w:ascii="Times New Roman" w:hAnsi="Times New Roman" w:cs="Times New Roman"/>
                <w:sz w:val="24"/>
                <w:lang w:val="sq-AL"/>
              </w:rPr>
              <w:t>Hyrje në Sociologjinë Ekonomike</w:t>
            </w:r>
          </w:p>
          <w:p w:rsidR="00552019" w:rsidRPr="006A34BC" w:rsidRDefault="00336CC4" w:rsidP="00336CC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336CC4">
              <w:rPr>
                <w:rFonts w:ascii="Times New Roman" w:hAnsi="Times New Roman" w:cs="Times New Roman"/>
                <w:sz w:val="24"/>
                <w:lang w:val="sq-AL"/>
              </w:rPr>
              <w:t>Sociologjia e ekonomisë;</w:t>
            </w:r>
          </w:p>
        </w:tc>
      </w:tr>
      <w:tr w:rsidR="00552019" w:rsidTr="005B3AF3">
        <w:tc>
          <w:tcPr>
            <w:tcW w:w="1705" w:type="dxa"/>
          </w:tcPr>
          <w:p w:rsidR="00552019" w:rsidRPr="006A34BC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2</w:t>
            </w:r>
          </w:p>
        </w:tc>
        <w:tc>
          <w:tcPr>
            <w:tcW w:w="7645" w:type="dxa"/>
          </w:tcPr>
          <w:p w:rsidR="00552019" w:rsidRPr="006A34BC" w:rsidRDefault="00336CC4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Konstrukti social, politik dhe kulturor i tregjeve;</w:t>
            </w:r>
          </w:p>
        </w:tc>
      </w:tr>
      <w:tr w:rsidR="00552019" w:rsidTr="005B3AF3">
        <w:tc>
          <w:tcPr>
            <w:tcW w:w="1705" w:type="dxa"/>
          </w:tcPr>
          <w:p w:rsidR="00552019" w:rsidRPr="006A34BC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3</w:t>
            </w:r>
          </w:p>
        </w:tc>
        <w:tc>
          <w:tcPr>
            <w:tcW w:w="7645" w:type="dxa"/>
          </w:tcPr>
          <w:p w:rsidR="00EE3B0E" w:rsidRPr="006A34BC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Roli i 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rrjeteve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, institucioneve, dhe shtetit n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zhvillimin ekonomik;</w:t>
            </w:r>
          </w:p>
        </w:tc>
      </w:tr>
      <w:tr w:rsidR="00552019" w:rsidTr="005B3AF3">
        <w:tc>
          <w:tcPr>
            <w:tcW w:w="1705" w:type="dxa"/>
          </w:tcPr>
          <w:p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4</w:t>
            </w:r>
          </w:p>
        </w:tc>
        <w:tc>
          <w:tcPr>
            <w:tcW w:w="7645" w:type="dxa"/>
          </w:tcPr>
          <w:p w:rsidR="00552019" w:rsidRPr="006A34BC" w:rsidRDefault="007A3909" w:rsidP="007A390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7A3909">
              <w:rPr>
                <w:rFonts w:ascii="Times New Roman" w:hAnsi="Times New Roman" w:cs="Times New Roman"/>
                <w:sz w:val="24"/>
                <w:lang w:val="sq-AL"/>
              </w:rPr>
              <w:t>Alternativa bashkëpunuese për korporatat fitimprurëse</w:t>
            </w:r>
          </w:p>
        </w:tc>
      </w:tr>
      <w:tr w:rsidR="00552019" w:rsidTr="005B3AF3">
        <w:tc>
          <w:tcPr>
            <w:tcW w:w="1705" w:type="dxa"/>
          </w:tcPr>
          <w:p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5</w:t>
            </w:r>
          </w:p>
        </w:tc>
        <w:tc>
          <w:tcPr>
            <w:tcW w:w="7645" w:type="dxa"/>
          </w:tcPr>
          <w:p w:rsidR="00EE3B0E" w:rsidRPr="006A34BC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Dallimet nacionale n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kapitaliz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m;</w:t>
            </w:r>
          </w:p>
        </w:tc>
      </w:tr>
      <w:tr w:rsidR="00552019" w:rsidTr="005B3AF3">
        <w:tc>
          <w:tcPr>
            <w:tcW w:w="1705" w:type="dxa"/>
          </w:tcPr>
          <w:p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6</w:t>
            </w:r>
          </w:p>
        </w:tc>
        <w:tc>
          <w:tcPr>
            <w:tcW w:w="7645" w:type="dxa"/>
          </w:tcPr>
          <w:p w:rsidR="00552019" w:rsidRPr="006A34BC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Tranzicionit ekonomike n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shoq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rit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post socialiste, globalizimi; dhe transferimi nga ekonomit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me prodhime masive n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sisteme bazuar n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m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sim, inovacione dhe fleksibilitet. </w:t>
            </w:r>
          </w:p>
        </w:tc>
      </w:tr>
      <w:tr w:rsidR="00552019" w:rsidTr="005B3AF3">
        <w:tc>
          <w:tcPr>
            <w:tcW w:w="1705" w:type="dxa"/>
          </w:tcPr>
          <w:p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7</w:t>
            </w:r>
          </w:p>
        </w:tc>
        <w:tc>
          <w:tcPr>
            <w:tcW w:w="7645" w:type="dxa"/>
          </w:tcPr>
          <w:p w:rsidR="00552019" w:rsidRPr="006A34BC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Efektet e globalizimit</w:t>
            </w:r>
          </w:p>
        </w:tc>
      </w:tr>
      <w:tr w:rsidR="00552019" w:rsidTr="005B3AF3">
        <w:tc>
          <w:tcPr>
            <w:tcW w:w="1705" w:type="dxa"/>
          </w:tcPr>
          <w:p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8</w:t>
            </w:r>
          </w:p>
        </w:tc>
        <w:tc>
          <w:tcPr>
            <w:tcW w:w="7645" w:type="dxa"/>
          </w:tcPr>
          <w:p w:rsidR="00552019" w:rsidRPr="006A34BC" w:rsidRDefault="007A3909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Testi 1</w:t>
            </w:r>
          </w:p>
        </w:tc>
      </w:tr>
      <w:tr w:rsidR="00552019" w:rsidTr="005B3AF3">
        <w:tc>
          <w:tcPr>
            <w:tcW w:w="1705" w:type="dxa"/>
          </w:tcPr>
          <w:p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9</w:t>
            </w:r>
          </w:p>
        </w:tc>
        <w:tc>
          <w:tcPr>
            <w:tcW w:w="7645" w:type="dxa"/>
          </w:tcPr>
          <w:p w:rsidR="00552019" w:rsidRPr="006A34BC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Transferimi nga ekonomit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me prodhime masive n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sisteme bazuar n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m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sim, inovacione dhe fleksibilitet.</w:t>
            </w:r>
          </w:p>
        </w:tc>
      </w:tr>
      <w:tr w:rsidR="00552019" w:rsidTr="005B3AF3">
        <w:tc>
          <w:tcPr>
            <w:tcW w:w="1705" w:type="dxa"/>
          </w:tcPr>
          <w:p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10</w:t>
            </w:r>
          </w:p>
        </w:tc>
        <w:tc>
          <w:tcPr>
            <w:tcW w:w="7645" w:type="dxa"/>
          </w:tcPr>
          <w:p w:rsidR="00552019" w:rsidRPr="006A34BC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Ngritja e Tregjeve</w:t>
            </w:r>
          </w:p>
        </w:tc>
      </w:tr>
      <w:tr w:rsidR="00552019" w:rsidTr="005B3AF3">
        <w:tc>
          <w:tcPr>
            <w:tcW w:w="1705" w:type="dxa"/>
          </w:tcPr>
          <w:p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11</w:t>
            </w:r>
          </w:p>
        </w:tc>
        <w:tc>
          <w:tcPr>
            <w:tcW w:w="7645" w:type="dxa"/>
          </w:tcPr>
          <w:p w:rsidR="00552019" w:rsidRPr="006A34BC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Inovacioni dhe fleksibiliteti;</w:t>
            </w:r>
          </w:p>
        </w:tc>
      </w:tr>
      <w:tr w:rsidR="00552019" w:rsidTr="005B3AF3">
        <w:tc>
          <w:tcPr>
            <w:tcW w:w="1705" w:type="dxa"/>
          </w:tcPr>
          <w:p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12</w:t>
            </w:r>
          </w:p>
        </w:tc>
        <w:tc>
          <w:tcPr>
            <w:tcW w:w="7645" w:type="dxa"/>
          </w:tcPr>
          <w:p w:rsidR="00552019" w:rsidRPr="006A34BC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Institucionet – Strukturimet Sociale dhe ndryshimet n</w:t>
            </w:r>
            <w:r w:rsidR="00117B20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sistemin biznesor.</w:t>
            </w:r>
          </w:p>
        </w:tc>
      </w:tr>
      <w:tr w:rsidR="00552019" w:rsidTr="005B3AF3">
        <w:tc>
          <w:tcPr>
            <w:tcW w:w="1705" w:type="dxa"/>
          </w:tcPr>
          <w:p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13</w:t>
            </w:r>
          </w:p>
        </w:tc>
        <w:tc>
          <w:tcPr>
            <w:tcW w:w="7645" w:type="dxa"/>
          </w:tcPr>
          <w:p w:rsidR="00552019" w:rsidRPr="006A34BC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Kombet – Shtetet dhe Zhvillimi Ekonomik</w:t>
            </w:r>
          </w:p>
        </w:tc>
      </w:tr>
      <w:tr w:rsidR="00552019" w:rsidTr="005B3AF3">
        <w:tc>
          <w:tcPr>
            <w:tcW w:w="1705" w:type="dxa"/>
          </w:tcPr>
          <w:p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14</w:t>
            </w:r>
          </w:p>
        </w:tc>
        <w:tc>
          <w:tcPr>
            <w:tcW w:w="7645" w:type="dxa"/>
          </w:tcPr>
          <w:p w:rsidR="00552019" w:rsidRPr="006A34BC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Kapitalizmi Krahasues</w:t>
            </w:r>
          </w:p>
        </w:tc>
      </w:tr>
      <w:tr w:rsidR="00552019" w:rsidTr="005B3AF3">
        <w:tc>
          <w:tcPr>
            <w:tcW w:w="1705" w:type="dxa"/>
          </w:tcPr>
          <w:p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15</w:t>
            </w:r>
          </w:p>
        </w:tc>
        <w:tc>
          <w:tcPr>
            <w:tcW w:w="7645" w:type="dxa"/>
          </w:tcPr>
          <w:p w:rsidR="00552019" w:rsidRDefault="007A3909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Testi 2</w:t>
            </w:r>
          </w:p>
        </w:tc>
      </w:tr>
    </w:tbl>
    <w:p w:rsidR="00552019" w:rsidRDefault="00552019" w:rsidP="00FA3B0B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4645" w:rsidTr="006A34BC">
        <w:tc>
          <w:tcPr>
            <w:tcW w:w="9350" w:type="dxa"/>
            <w:shd w:val="clear" w:color="auto" w:fill="BDD6EE" w:themeFill="accent1" w:themeFillTint="66"/>
            <w:vAlign w:val="center"/>
          </w:tcPr>
          <w:p w:rsidR="009E4645" w:rsidRPr="00C10F09" w:rsidRDefault="009E4645" w:rsidP="006A34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Politikat akademike dhe rregullat e mir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sjelljes:</w:t>
            </w:r>
          </w:p>
        </w:tc>
      </w:tr>
      <w:tr w:rsidR="009E4645" w:rsidTr="00C10F09">
        <w:tc>
          <w:tcPr>
            <w:tcW w:w="9350" w:type="dxa"/>
          </w:tcPr>
          <w:p w:rsidR="009E4645" w:rsidRDefault="009E4645" w:rsidP="006A3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Çdo student q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tenton t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mashtroj 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ÇDO M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NYR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duke p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rfshir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, mir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po jo i limituar 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: (1) Përdorimi i leksioneve/</w:t>
            </w:r>
            <w:r w:rsidRPr="009E4645">
              <w:rPr>
                <w:rFonts w:ascii="Times New Roman" w:hAnsi="Times New Roman" w:cs="Times New Roman"/>
                <w:sz w:val="24"/>
                <w:lang w:val="sq-AL"/>
              </w:rPr>
              <w:t>shënimeve studimore ose përmbledhjeve në çdo formë gjatë provimeve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, (2) </w:t>
            </w:r>
            <w:r w:rsidRPr="009E4645">
              <w:rPr>
                <w:rFonts w:ascii="Times New Roman" w:hAnsi="Times New Roman" w:cs="Times New Roman"/>
                <w:sz w:val="24"/>
                <w:lang w:val="sq-AL"/>
              </w:rPr>
              <w:t>Kopjimi i përgjigjeve të provimeve,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(3) Dhënia dhe/ose marrja e pyetjeve dhe/</w:t>
            </w:r>
            <w:r w:rsidRPr="009E4645">
              <w:rPr>
                <w:rFonts w:ascii="Times New Roman" w:hAnsi="Times New Roman" w:cs="Times New Roman"/>
                <w:sz w:val="24"/>
                <w:lang w:val="sq-AL"/>
              </w:rPr>
              <w:t>ose përgjigjeve të provimit,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(5) Largimi i provimit nga Klasa dhe/ose (6) </w:t>
            </w:r>
            <w:r w:rsidRPr="009E4645">
              <w:rPr>
                <w:rFonts w:ascii="Times New Roman" w:hAnsi="Times New Roman" w:cs="Times New Roman"/>
                <w:sz w:val="24"/>
                <w:lang w:val="sq-AL"/>
              </w:rPr>
              <w:t>Dhënia ose marrja e ndihmës në një detyrë që tejkalon atë që lejohet nga instruktori juaj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DO TË MARRË NJË NOTË JOKALUESE TË KËSAJ LËNDE.</w:t>
            </w:r>
            <w:r w:rsidR="00A4240B">
              <w:t xml:space="preserve"> </w:t>
            </w:r>
            <w:r w:rsidR="00A4240B" w:rsidRPr="00A4240B">
              <w:rPr>
                <w:rFonts w:ascii="Times New Roman" w:hAnsi="Times New Roman" w:cs="Times New Roman"/>
                <w:sz w:val="24"/>
                <w:lang w:val="sq-AL"/>
              </w:rPr>
              <w:t>TË GJITHA DETYRAT DHE PROVIMET PËR KËTË KLASË DUHET TË BËHEN TË PAVARUR,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 xml:space="preserve"> VETËM NËSE</w:t>
            </w:r>
            <w:r w:rsidR="00A4240B" w:rsidRPr="00A4240B">
              <w:rPr>
                <w:rFonts w:ascii="Times New Roman" w:hAnsi="Times New Roman" w:cs="Times New Roman"/>
                <w:sz w:val="24"/>
                <w:lang w:val="sq-AL"/>
              </w:rPr>
              <w:t xml:space="preserve"> J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 xml:space="preserve">U KËRKOHET </w:t>
            </w:r>
            <w:r w:rsidR="00A4240B" w:rsidRPr="00A4240B">
              <w:rPr>
                <w:rFonts w:ascii="Times New Roman" w:hAnsi="Times New Roman" w:cs="Times New Roman"/>
                <w:sz w:val="24"/>
                <w:lang w:val="sq-AL"/>
              </w:rPr>
              <w:t>NDRYSHE NGA INSTRUKTORI JUAJ.</w:t>
            </w:r>
          </w:p>
        </w:tc>
      </w:tr>
    </w:tbl>
    <w:p w:rsidR="00107B59" w:rsidRPr="00FA3B0B" w:rsidRDefault="00107B59" w:rsidP="00FA3B0B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</w:p>
    <w:sectPr w:rsidR="00107B59" w:rsidRPr="00FA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15EF"/>
    <w:multiLevelType w:val="hybridMultilevel"/>
    <w:tmpl w:val="185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0B67"/>
    <w:multiLevelType w:val="hybridMultilevel"/>
    <w:tmpl w:val="BB6E0840"/>
    <w:lvl w:ilvl="0" w:tplc="DCFC4778">
      <w:start w:val="1"/>
      <w:numFmt w:val="decimal"/>
      <w:lvlText w:val="%1."/>
      <w:lvlJc w:val="left"/>
      <w:pPr>
        <w:ind w:left="720" w:hanging="360"/>
      </w:pPr>
      <w:rPr>
        <w:rFonts w:ascii="Lucida Grande" w:eastAsia="Calibri" w:hAnsi="Lucida Grande" w:cs="Lucida Grande" w:hint="default"/>
        <w:b w:val="0"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4059D"/>
    <w:multiLevelType w:val="hybridMultilevel"/>
    <w:tmpl w:val="A4DC28AC"/>
    <w:lvl w:ilvl="0" w:tplc="56A0C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34BA9"/>
    <w:multiLevelType w:val="hybridMultilevel"/>
    <w:tmpl w:val="B066A97C"/>
    <w:lvl w:ilvl="0" w:tplc="DAAC9B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4ADC"/>
    <w:multiLevelType w:val="hybridMultilevel"/>
    <w:tmpl w:val="185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916FD"/>
    <w:multiLevelType w:val="hybridMultilevel"/>
    <w:tmpl w:val="52D8A26A"/>
    <w:lvl w:ilvl="0" w:tplc="DF288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34A03"/>
    <w:multiLevelType w:val="hybridMultilevel"/>
    <w:tmpl w:val="4CC8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504E8"/>
    <w:multiLevelType w:val="hybridMultilevel"/>
    <w:tmpl w:val="E500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0B"/>
    <w:rsid w:val="00107B59"/>
    <w:rsid w:val="00117B20"/>
    <w:rsid w:val="0017363A"/>
    <w:rsid w:val="00336CC4"/>
    <w:rsid w:val="00440946"/>
    <w:rsid w:val="004B2BBA"/>
    <w:rsid w:val="00552019"/>
    <w:rsid w:val="005B3AF3"/>
    <w:rsid w:val="005C209F"/>
    <w:rsid w:val="005E2F6E"/>
    <w:rsid w:val="0061182A"/>
    <w:rsid w:val="006962EF"/>
    <w:rsid w:val="006A34BC"/>
    <w:rsid w:val="007A3909"/>
    <w:rsid w:val="00805A63"/>
    <w:rsid w:val="00850EA4"/>
    <w:rsid w:val="0094109E"/>
    <w:rsid w:val="009E4645"/>
    <w:rsid w:val="00A4240B"/>
    <w:rsid w:val="00AE755D"/>
    <w:rsid w:val="00B13B48"/>
    <w:rsid w:val="00C10F09"/>
    <w:rsid w:val="00D36423"/>
    <w:rsid w:val="00EE3B0E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7F3D9-9F19-4B03-BA5E-9BC53D4B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946"/>
    <w:pPr>
      <w:ind w:left="720"/>
      <w:contextualSpacing/>
    </w:pPr>
  </w:style>
  <w:style w:type="paragraph" w:styleId="Footer">
    <w:name w:val="footer"/>
    <w:basedOn w:val="Normal"/>
    <w:link w:val="FooterChar"/>
    <w:rsid w:val="00336C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36C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rsid w:val="00336CC4"/>
    <w:rPr>
      <w:rFonts w:ascii="Book Antiqua" w:eastAsia="Calibri" w:hAnsi="Book Antiqua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336CC4"/>
    <w:pPr>
      <w:spacing w:after="0" w:line="240" w:lineRule="auto"/>
    </w:pPr>
    <w:rPr>
      <w:rFonts w:ascii="Book Antiqua" w:eastAsia="Calibri" w:hAnsi="Book Antiqua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87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 Zhushi</dc:creator>
  <cp:keywords/>
  <dc:description/>
  <cp:lastModifiedBy>Driton Qehaja</cp:lastModifiedBy>
  <cp:revision>2</cp:revision>
  <dcterms:created xsi:type="dcterms:W3CDTF">2021-10-22T08:57:00Z</dcterms:created>
  <dcterms:modified xsi:type="dcterms:W3CDTF">2021-10-22T08:57:00Z</dcterms:modified>
</cp:coreProperties>
</file>