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14" w:rsidRPr="00CF116F" w:rsidRDefault="007D3414" w:rsidP="007D3414">
      <w:pPr>
        <w:rPr>
          <w:rFonts w:ascii="Calibri" w:hAnsi="Calibri"/>
          <w:b/>
          <w:sz w:val="28"/>
          <w:szCs w:val="28"/>
          <w:u w:val="single"/>
        </w:rPr>
      </w:pPr>
      <w:r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Pr="00CF116F">
        <w:rPr>
          <w:rFonts w:ascii="Calibri" w:hAnsi="Calibri"/>
          <w:b/>
          <w:sz w:val="32"/>
          <w:szCs w:val="32"/>
          <w:u w:val="single"/>
        </w:rPr>
        <w:t>ABUS</w:t>
      </w:r>
      <w:r w:rsidR="004035F5">
        <w:rPr>
          <w:rFonts w:ascii="Calibri" w:hAnsi="Calibri"/>
          <w:b/>
          <w:sz w:val="32"/>
          <w:szCs w:val="32"/>
          <w:u w:val="single"/>
        </w:rPr>
        <w:t xml:space="preserve">: </w:t>
      </w:r>
      <w:r w:rsidR="00F428FE">
        <w:rPr>
          <w:rFonts w:ascii="Calibri" w:hAnsi="Calibri"/>
          <w:b/>
          <w:sz w:val="32"/>
          <w:szCs w:val="32"/>
          <w:u w:val="single"/>
        </w:rPr>
        <w:t>Financa Publike</w:t>
      </w:r>
    </w:p>
    <w:p w:rsidR="007D3414" w:rsidRPr="00CF116F" w:rsidRDefault="007D3414" w:rsidP="007D341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7D3414" w:rsidRPr="00777D28" w:rsidTr="00E33D0A">
        <w:tc>
          <w:tcPr>
            <w:tcW w:w="8856" w:type="dxa"/>
            <w:gridSpan w:val="4"/>
            <w:shd w:val="clear" w:color="auto" w:fill="B8CCE4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Të dhëna bazike të lëndës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7D3414" w:rsidRPr="00777D28" w:rsidRDefault="007D3414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Fakulteti Ekonomik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7D3414" w:rsidRPr="00777D28" w:rsidRDefault="007D3414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Financat Publike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:rsidR="007D3414" w:rsidRPr="00777D28" w:rsidRDefault="007D3414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Statusi</w:t>
            </w:r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s:</w:t>
            </w:r>
          </w:p>
        </w:tc>
        <w:tc>
          <w:tcPr>
            <w:tcW w:w="5239" w:type="dxa"/>
            <w:gridSpan w:val="3"/>
          </w:tcPr>
          <w:p w:rsidR="007D3414" w:rsidRPr="00777D28" w:rsidRDefault="007D3414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Obligative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7D3414" w:rsidRPr="00777D28" w:rsidRDefault="007D3414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Viti i III / Semestri i VI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7D3414" w:rsidRPr="00777D28" w:rsidRDefault="007D3414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3B41FB">
              <w:rPr>
                <w:b/>
                <w:szCs w:val="28"/>
              </w:rPr>
              <w:t>+1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7D3414" w:rsidRPr="00777D28" w:rsidRDefault="005C0A50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4035F5">
              <w:rPr>
                <w:b/>
                <w:szCs w:val="28"/>
              </w:rPr>
              <w:t xml:space="preserve"> ECTS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7D3414" w:rsidRPr="00777D28" w:rsidRDefault="007D3414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Sipas orarit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:rsidR="007D3414" w:rsidRPr="00777D28" w:rsidRDefault="007D3414" w:rsidP="00E33D0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Dr.Drita Konxheli-Radoniqi, Prof.Asoc.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7D3414" w:rsidRDefault="003F4AF4" w:rsidP="00E33D0A">
            <w:pPr>
              <w:pStyle w:val="NoSpacing"/>
              <w:rPr>
                <w:b/>
                <w:szCs w:val="28"/>
              </w:rPr>
            </w:pPr>
            <w:hyperlink r:id="rId8" w:history="1">
              <w:r w:rsidR="007D3414" w:rsidRPr="00560C77">
                <w:rPr>
                  <w:rStyle w:val="Hyperlink"/>
                  <w:b/>
                  <w:szCs w:val="28"/>
                </w:rPr>
                <w:t>drita.konxheli@uni-pr.edu</w:t>
              </w:r>
            </w:hyperlink>
          </w:p>
          <w:p w:rsidR="007D3414" w:rsidRDefault="007D3414" w:rsidP="00E33D0A">
            <w:pPr>
              <w:pStyle w:val="NoSpacing"/>
            </w:pPr>
            <w:r w:rsidRPr="005F15A9">
              <w:t>Fakulteti Ekonomik, UP</w:t>
            </w:r>
            <w:r>
              <w:t>”Hasan Prishtina”</w:t>
            </w:r>
            <w:r w:rsidRPr="005F15A9">
              <w:t>,</w:t>
            </w:r>
            <w:r>
              <w:t xml:space="preserve"> Kati i V,</w:t>
            </w:r>
          </w:p>
          <w:p w:rsidR="007D3414" w:rsidRPr="00F31BBC" w:rsidRDefault="007D3414" w:rsidP="00E33D0A">
            <w:pPr>
              <w:pStyle w:val="NoSpacing"/>
            </w:pPr>
            <w:r w:rsidRPr="005F15A9">
              <w:t xml:space="preserve"> Kabineti </w:t>
            </w:r>
            <w:r>
              <w:t>69</w:t>
            </w:r>
          </w:p>
        </w:tc>
      </w:tr>
      <w:tr w:rsidR="007D3414" w:rsidRPr="00777D28" w:rsidTr="00E33D0A">
        <w:tc>
          <w:tcPr>
            <w:tcW w:w="8856" w:type="dxa"/>
            <w:gridSpan w:val="4"/>
            <w:shd w:val="clear" w:color="auto" w:fill="B8CCE4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</w:rPr>
            </w:pP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7D3414" w:rsidRPr="007D1065" w:rsidRDefault="00052464" w:rsidP="00E33D0A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J</w:t>
            </w:r>
            <w:r w:rsidR="007D3414" w:rsidRPr="007D1065">
              <w:rPr>
                <w:sz w:val="22"/>
                <w:szCs w:val="22"/>
              </w:rPr>
              <w:t xml:space="preserve">eta jonë është e ndikuar në shumë mënyra nga veprimet e qeverisë. Qeveritë janë organizata të formuara për të ushtruar pushtet mbi veprimet e njerëzve të cilët jetojnë sëbashku në shoqëri dhe për të siguruar dhe financuar shërbimet qenësore. Financat Publike janë pjesë e ekonomiksit që studiojnë funksionimin e qeverisë dhe mënyrat alternative të financimit të shpenzimeve të qeverisë. Nëse studioni Financat Publike, do të fitoni njohuri lidhur me bazën ekonomike të funksionimit të qeverisë. </w:t>
            </w:r>
          </w:p>
          <w:p w:rsidR="007D3414" w:rsidRPr="00D67209" w:rsidRDefault="007D3414" w:rsidP="00E33D0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7D3414" w:rsidRDefault="007D3414" w:rsidP="00E33D0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7D3414" w:rsidRDefault="007D3414" w:rsidP="009167BC">
            <w:pPr>
              <w:jc w:val="both"/>
            </w:pPr>
            <w:r w:rsidRPr="007D1065">
              <w:rPr>
                <w:sz w:val="22"/>
                <w:szCs w:val="22"/>
              </w:rPr>
              <w:t xml:space="preserve">Objektivi i kursit është që në fund të semestrit studentët të kenë një njohuri më të qartë dhe aftësi për të rezonuar lidhur me çështjet ekonomike që kanë të bëjnë me </w:t>
            </w:r>
            <w:r w:rsidR="00052464">
              <w:rPr>
                <w:sz w:val="22"/>
                <w:szCs w:val="22"/>
              </w:rPr>
              <w:t>financat</w:t>
            </w:r>
            <w:r w:rsidRPr="007D1065">
              <w:rPr>
                <w:sz w:val="22"/>
                <w:szCs w:val="22"/>
              </w:rPr>
              <w:t xml:space="preserve"> publik</w:t>
            </w:r>
            <w:r w:rsidR="00052464">
              <w:rPr>
                <w:sz w:val="22"/>
                <w:szCs w:val="22"/>
              </w:rPr>
              <w:t>e</w:t>
            </w:r>
            <w:r w:rsidRPr="007D1065">
              <w:rPr>
                <w:sz w:val="22"/>
                <w:szCs w:val="22"/>
              </w:rPr>
              <w:t>. Qëllimi është gërshetimi i të dhënave instituc</w:t>
            </w:r>
            <w:r w:rsidR="00052464">
              <w:rPr>
                <w:sz w:val="22"/>
                <w:szCs w:val="22"/>
              </w:rPr>
              <w:t xml:space="preserve">ionale dhe teorike </w:t>
            </w:r>
            <w:r w:rsidRPr="007D1065">
              <w:rPr>
                <w:sz w:val="22"/>
                <w:szCs w:val="22"/>
              </w:rPr>
              <w:t xml:space="preserve"> që studentët të aftësohen për të vlerësuar në mënyrë parimore shpenzimet qeveritare dhe tatimet. Synimi i kursit është që në fund të semestrit studenti të jetë </w:t>
            </w:r>
            <w:r w:rsidR="00052464">
              <w:rPr>
                <w:sz w:val="22"/>
                <w:szCs w:val="22"/>
              </w:rPr>
              <w:t>n</w:t>
            </w:r>
            <w:r w:rsidR="00677322">
              <w:rPr>
                <w:sz w:val="22"/>
                <w:szCs w:val="22"/>
              </w:rPr>
              <w:t>ë</w:t>
            </w:r>
            <w:r w:rsidR="00052464">
              <w:rPr>
                <w:sz w:val="22"/>
                <w:szCs w:val="22"/>
              </w:rPr>
              <w:t xml:space="preserve"> gjendje t</w:t>
            </w:r>
            <w:r w:rsidR="00677322">
              <w:rPr>
                <w:sz w:val="22"/>
                <w:szCs w:val="22"/>
              </w:rPr>
              <w:t>ë</w:t>
            </w:r>
            <w:r w:rsidR="00052464">
              <w:rPr>
                <w:sz w:val="22"/>
                <w:szCs w:val="22"/>
              </w:rPr>
              <w:t xml:space="preserve"> zbatoj</w:t>
            </w:r>
            <w:r w:rsidR="00677322">
              <w:rPr>
                <w:sz w:val="22"/>
                <w:szCs w:val="22"/>
              </w:rPr>
              <w:t>ë</w:t>
            </w:r>
            <w:r w:rsidR="00052464">
              <w:rPr>
                <w:sz w:val="22"/>
                <w:szCs w:val="22"/>
              </w:rPr>
              <w:t xml:space="preserve"> </w:t>
            </w:r>
            <w:r w:rsidR="009167BC">
              <w:rPr>
                <w:sz w:val="22"/>
                <w:szCs w:val="22"/>
              </w:rPr>
              <w:t>analizat ekonomike n</w:t>
            </w:r>
            <w:r w:rsidR="00677322">
              <w:rPr>
                <w:sz w:val="22"/>
                <w:szCs w:val="22"/>
              </w:rPr>
              <w:t>ë</w:t>
            </w:r>
            <w:r w:rsidR="009167BC">
              <w:rPr>
                <w:sz w:val="22"/>
                <w:szCs w:val="22"/>
              </w:rPr>
              <w:t xml:space="preserve"> programet e ndryshme t</w:t>
            </w:r>
            <w:r w:rsidR="00677322">
              <w:rPr>
                <w:sz w:val="22"/>
                <w:szCs w:val="22"/>
              </w:rPr>
              <w:t>ë</w:t>
            </w:r>
            <w:r w:rsidR="009167BC">
              <w:rPr>
                <w:sz w:val="22"/>
                <w:szCs w:val="22"/>
              </w:rPr>
              <w:t xml:space="preserve"> tatimeve dhe shpenzimeve.</w:t>
            </w:r>
          </w:p>
          <w:p w:rsidR="009167BC" w:rsidRPr="007D1065" w:rsidRDefault="009167BC" w:rsidP="009167BC">
            <w:pPr>
              <w:jc w:val="both"/>
              <w:rPr>
                <w:rFonts w:ascii="Arial" w:hAnsi="Arial" w:cs="Arial"/>
              </w:rPr>
            </w:pP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7D3414" w:rsidRDefault="007D3414" w:rsidP="00E33D0A">
            <w:r w:rsidRPr="00EE72E9">
              <w:rPr>
                <w:sz w:val="22"/>
                <w:szCs w:val="22"/>
              </w:rPr>
              <w:t>Pas përf</w:t>
            </w:r>
            <w:r>
              <w:rPr>
                <w:sz w:val="22"/>
                <w:szCs w:val="22"/>
              </w:rPr>
              <w:t>undimit të këtij kursi, studentët duhet të jenë në gjendje të</w:t>
            </w:r>
            <w:r w:rsidRPr="00EE72E9">
              <w:rPr>
                <w:sz w:val="22"/>
                <w:szCs w:val="22"/>
              </w:rPr>
              <w:t>:</w:t>
            </w:r>
          </w:p>
          <w:p w:rsidR="00FC188C" w:rsidRDefault="00FC188C" w:rsidP="00FC188C">
            <w:pPr>
              <w:pStyle w:val="ListParagraph"/>
              <w:numPr>
                <w:ilvl w:val="0"/>
                <w:numId w:val="1"/>
              </w:numPr>
            </w:pPr>
            <w:r w:rsidRPr="00FC188C">
              <w:rPr>
                <w:sz w:val="22"/>
                <w:szCs w:val="22"/>
              </w:rPr>
              <w:t>t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identifikojn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t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dalat publike dhe t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hyrat publike;</w:t>
            </w:r>
          </w:p>
          <w:p w:rsidR="00FC188C" w:rsidRDefault="00FC188C" w:rsidP="00FC188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t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kuptojn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baz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n ekonomike t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funksionimit t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qeveris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;</w:t>
            </w:r>
          </w:p>
          <w:p w:rsidR="007D3414" w:rsidRPr="00FC188C" w:rsidRDefault="00FC188C" w:rsidP="007D3414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t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</w:t>
            </w:r>
            <w:r w:rsidR="007D3414">
              <w:rPr>
                <w:sz w:val="22"/>
                <w:szCs w:val="22"/>
              </w:rPr>
              <w:t>zbatojnë analizat ekonomike në programet e ndryshme të tatimeve dhe shpenzimeve;</w:t>
            </w:r>
          </w:p>
          <w:p w:rsidR="00FC188C" w:rsidRPr="00FC188C" w:rsidRDefault="00FC188C" w:rsidP="00FC188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t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analizojn</w:t>
            </w:r>
            <w:r w:rsidR="0005246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politikat qeveritare</w:t>
            </w:r>
          </w:p>
          <w:p w:rsidR="007D3414" w:rsidRPr="00F31BBC" w:rsidRDefault="00052464" w:rsidP="00FC188C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lastRenderedPageBreak/>
              <w:t>të vlerëso</w:t>
            </w:r>
            <w:r w:rsidR="007D3414">
              <w:rPr>
                <w:sz w:val="22"/>
                <w:szCs w:val="22"/>
              </w:rPr>
              <w:t>jnë ndikimin e shpenzimeve qeveritare, ligjeve, tatimeve, dhe borxheve në nxitjen për punë, investime</w:t>
            </w:r>
            <w:r w:rsidR="003F4AF4">
              <w:rPr>
                <w:sz w:val="22"/>
                <w:szCs w:val="22"/>
              </w:rPr>
              <w:t xml:space="preserve"> dhe shpenzim të të ardhurave.</w:t>
            </w:r>
          </w:p>
        </w:tc>
      </w:tr>
      <w:tr w:rsidR="007D3414" w:rsidRPr="00777D28" w:rsidTr="00E33D0A">
        <w:tc>
          <w:tcPr>
            <w:tcW w:w="8856" w:type="dxa"/>
            <w:gridSpan w:val="4"/>
            <w:shd w:val="clear" w:color="auto" w:fill="B8CCE4"/>
          </w:tcPr>
          <w:p w:rsidR="007D3414" w:rsidRDefault="007D3414" w:rsidP="00E33D0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D3414" w:rsidRPr="00777D28" w:rsidTr="00E33D0A">
        <w:tc>
          <w:tcPr>
            <w:tcW w:w="8856" w:type="dxa"/>
            <w:gridSpan w:val="4"/>
            <w:shd w:val="clear" w:color="auto" w:fill="B8CCE4"/>
          </w:tcPr>
          <w:p w:rsidR="007D3414" w:rsidRPr="00183923" w:rsidRDefault="007D3414" w:rsidP="00E33D0A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nxёnit tё studentit)</w:t>
            </w: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7D3414" w:rsidRPr="007C3132" w:rsidRDefault="007D3414" w:rsidP="00E33D0A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D3414" w:rsidRPr="007C3132" w:rsidRDefault="007D3414" w:rsidP="00E33D0A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D3414" w:rsidRPr="007C3132" w:rsidRDefault="007D3414" w:rsidP="00E33D0A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7D3414" w:rsidRPr="007C3132" w:rsidRDefault="007D3414" w:rsidP="00E33D0A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  <w:r w:rsidRPr="006875AF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  <w:r>
              <w:t>1</w:t>
            </w:r>
            <w:r w:rsidR="00CE4268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CE4268" w:rsidP="00E33D0A">
            <w:pPr>
              <w:jc w:val="center"/>
            </w:pPr>
            <w:r>
              <w:t>30</w:t>
            </w: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3B41FB" w:rsidP="00E33D0A">
            <w:pPr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3B41FB" w:rsidP="00E33D0A">
            <w:pPr>
              <w:jc w:val="center"/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3B41FB" w:rsidP="00E33D0A">
            <w:pPr>
              <w:jc w:val="center"/>
            </w:pPr>
            <w:r>
              <w:t>15</w:t>
            </w: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574997" w:rsidP="00E33D0A">
            <w:pPr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  <w:r w:rsidRPr="006875AF">
              <w:t>1</w:t>
            </w:r>
            <w:r w:rsidR="00DA3782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574997" w:rsidP="00E33D0A">
            <w:pPr>
              <w:jc w:val="center"/>
            </w:pPr>
            <w:r>
              <w:t>15</w:t>
            </w: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Kollokfiume</w:t>
            </w:r>
            <w:r w:rsidR="00590159">
              <w:rPr>
                <w:rFonts w:ascii="Calibri" w:hAnsi="Calibri" w:cs="Arial"/>
                <w:sz w:val="22"/>
                <w:szCs w:val="22"/>
              </w:rPr>
              <w:t>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  <w:r w:rsidRPr="006875AF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  <w:bookmarkStart w:id="0" w:name="_GoBack"/>
            <w:bookmarkEnd w:id="0"/>
            <w:r w:rsidRPr="006875AF"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  <w:r w:rsidRPr="006875AF">
              <w:t>4</w:t>
            </w: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574997" w:rsidP="00E33D0A">
            <w:pPr>
              <w:jc w:val="center"/>
            </w:pPr>
            <w:r>
              <w:t>45</w:t>
            </w: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574997" w:rsidP="00E33D0A">
            <w:pPr>
              <w:jc w:val="center"/>
            </w:pPr>
            <w:r>
              <w:t>40</w:t>
            </w:r>
          </w:p>
        </w:tc>
      </w:tr>
      <w:tr w:rsidR="007D3414" w:rsidRPr="009E4EC0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Pr="009E4EC0" w:rsidRDefault="007D3414" w:rsidP="00E33D0A">
            <w:pPr>
              <w:rPr>
                <w:rFonts w:ascii="Calibri" w:hAnsi="Calibri" w:cs="Arial"/>
                <w:lang w:val="de-DE"/>
              </w:rPr>
            </w:pPr>
            <w:r w:rsidRPr="009E4EC0">
              <w:rPr>
                <w:rFonts w:ascii="Calibri" w:hAnsi="Calibri" w:cs="Arial"/>
                <w:sz w:val="22"/>
                <w:szCs w:val="22"/>
                <w:lang w:val="de-DE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CE4268" w:rsidP="00E33D0A">
            <w:pPr>
              <w:jc w:val="center"/>
            </w:pPr>
            <w:r>
              <w:t>1</w:t>
            </w: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D3414" w:rsidRDefault="007D3414" w:rsidP="00E33D0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Projektet,prezentimet ,etj</w:t>
            </w:r>
          </w:p>
          <w:p w:rsidR="007D3414" w:rsidRPr="007C3132" w:rsidRDefault="007D3414" w:rsidP="00E33D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D3414" w:rsidRPr="006875AF" w:rsidRDefault="007D3414" w:rsidP="00E33D0A">
            <w:pPr>
              <w:jc w:val="center"/>
            </w:pPr>
          </w:p>
        </w:tc>
      </w:tr>
      <w:tr w:rsidR="007D3414" w:rsidRPr="00777D28" w:rsidTr="00E33D0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7D3414" w:rsidRDefault="007D3414" w:rsidP="00E33D0A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Totali </w:t>
            </w:r>
          </w:p>
          <w:p w:rsidR="007D3414" w:rsidRPr="007C3132" w:rsidRDefault="007D3414" w:rsidP="00E33D0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D3414" w:rsidRPr="006875AF" w:rsidRDefault="007D3414" w:rsidP="00E33D0A">
            <w:pPr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D3414" w:rsidRPr="006875AF" w:rsidRDefault="007D3414" w:rsidP="00E33D0A">
            <w:pPr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7D3414" w:rsidRPr="006875AF" w:rsidRDefault="007D3414" w:rsidP="00E33D0A">
            <w:pPr>
              <w:jc w:val="center"/>
              <w:rPr>
                <w:b/>
              </w:rPr>
            </w:pPr>
            <w:r w:rsidRPr="006875AF">
              <w:rPr>
                <w:b/>
              </w:rPr>
              <w:t>1</w:t>
            </w:r>
            <w:r w:rsidR="008543DC">
              <w:rPr>
                <w:b/>
              </w:rPr>
              <w:t>50</w:t>
            </w:r>
          </w:p>
        </w:tc>
      </w:tr>
      <w:tr w:rsidR="007D3414" w:rsidRPr="00777D28" w:rsidTr="00E33D0A">
        <w:tc>
          <w:tcPr>
            <w:tcW w:w="8856" w:type="dxa"/>
            <w:gridSpan w:val="4"/>
            <w:shd w:val="clear" w:color="auto" w:fill="B8CCE4"/>
          </w:tcPr>
          <w:p w:rsidR="007D3414" w:rsidRPr="007C3132" w:rsidRDefault="007D3414" w:rsidP="00E33D0A">
            <w:pPr>
              <w:rPr>
                <w:rFonts w:ascii="Calibri" w:hAnsi="Calibri" w:cs="Arial"/>
                <w:b/>
              </w:rPr>
            </w:pP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:rsidR="007D3414" w:rsidRDefault="007D3414" w:rsidP="00E33D0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641179" w:rsidRPr="00641179" w:rsidRDefault="007D3414" w:rsidP="00641179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Në dy orë ligjërata në javë</w:t>
            </w:r>
            <w:r w:rsidRPr="00BE1B01">
              <w:rPr>
                <w:color w:val="000000"/>
              </w:rPr>
              <w:t xml:space="preserve"> do të shtjellohet materiali mësimor, do të zhvillohet mësim interaktiv</w:t>
            </w:r>
            <w:r w:rsidRPr="00BE1B01">
              <w:rPr>
                <w:bCs/>
              </w:rPr>
              <w:t xml:space="preserve">  i ilustruar</w:t>
            </w:r>
            <w:r>
              <w:rPr>
                <w:bCs/>
              </w:rPr>
              <w:t xml:space="preserve"> me prezantime në</w:t>
            </w:r>
            <w:r w:rsidRPr="00BE1B01">
              <w:rPr>
                <w:bCs/>
              </w:rPr>
              <w:t xml:space="preserve"> po</w:t>
            </w:r>
            <w:r>
              <w:rPr>
                <w:bCs/>
              </w:rPr>
              <w:t>w</w:t>
            </w:r>
            <w:r w:rsidRPr="00BE1B01">
              <w:rPr>
                <w:bCs/>
              </w:rPr>
              <w:t xml:space="preserve">er point, </w:t>
            </w:r>
            <w:r w:rsidR="00205715">
              <w:rPr>
                <w:color w:val="000000"/>
              </w:rPr>
              <w:t xml:space="preserve"> do të</w:t>
            </w:r>
            <w:r w:rsidRPr="00BE1B01">
              <w:rPr>
                <w:color w:val="000000"/>
              </w:rPr>
              <w:t xml:space="preserve"> zhvillohen diskutime</w:t>
            </w:r>
            <w:r>
              <w:rPr>
                <w:color w:val="000000"/>
              </w:rPr>
              <w:t xml:space="preserve"> individuale dhe në grupe.</w:t>
            </w:r>
            <w:r w:rsidRPr="00BE1B01">
              <w:rPr>
                <w:color w:val="000000"/>
              </w:rPr>
              <w:t xml:space="preserve"> </w:t>
            </w: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7D3414" w:rsidRDefault="007D3414" w:rsidP="00E33D0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D3414" w:rsidRPr="00777D2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7D3414" w:rsidRPr="003635C8" w:rsidRDefault="007D3414" w:rsidP="00E33D0A">
            <w:pPr>
              <w:ind w:left="1080"/>
              <w:rPr>
                <w:color w:val="000000"/>
              </w:rPr>
            </w:pPr>
          </w:p>
          <w:p w:rsidR="007D3414" w:rsidRPr="003635C8" w:rsidRDefault="00205715" w:rsidP="00E33D0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kolokviumi i parë</w:t>
            </w:r>
            <w:r w:rsidR="007D3414" w:rsidRPr="003635C8">
              <w:rPr>
                <w:sz w:val="22"/>
                <w:szCs w:val="22"/>
              </w:rPr>
              <w:t>:           25%</w:t>
            </w:r>
          </w:p>
          <w:p w:rsidR="007D3414" w:rsidRPr="003635C8" w:rsidRDefault="007D3414" w:rsidP="00E33D0A">
            <w:pPr>
              <w:pStyle w:val="NoSpacing"/>
              <w:rPr>
                <w:sz w:val="22"/>
                <w:szCs w:val="22"/>
              </w:rPr>
            </w:pPr>
            <w:r w:rsidRPr="003635C8">
              <w:rPr>
                <w:sz w:val="22"/>
                <w:szCs w:val="22"/>
              </w:rPr>
              <w:t>b. kolokviumi i dytë:           25%</w:t>
            </w:r>
          </w:p>
          <w:p w:rsidR="007D3414" w:rsidRPr="003635C8" w:rsidRDefault="007D3414" w:rsidP="00E33D0A">
            <w:pPr>
              <w:pStyle w:val="NoSpacing"/>
              <w:rPr>
                <w:sz w:val="22"/>
                <w:szCs w:val="22"/>
              </w:rPr>
            </w:pPr>
            <w:r w:rsidRPr="003635C8">
              <w:rPr>
                <w:sz w:val="22"/>
                <w:szCs w:val="22"/>
              </w:rPr>
              <w:t>c. vijimi i rregulltë:             10%</w:t>
            </w:r>
          </w:p>
          <w:p w:rsidR="007D3414" w:rsidRPr="003635C8" w:rsidRDefault="007D3414" w:rsidP="00E33D0A">
            <w:pPr>
              <w:pStyle w:val="NoSpacing"/>
              <w:rPr>
                <w:sz w:val="22"/>
                <w:szCs w:val="22"/>
              </w:rPr>
            </w:pPr>
            <w:r w:rsidRPr="003635C8">
              <w:rPr>
                <w:sz w:val="22"/>
                <w:szCs w:val="22"/>
              </w:rPr>
              <w:t>d. provimi</w:t>
            </w:r>
            <w:r w:rsidR="00023251">
              <w:rPr>
                <w:sz w:val="22"/>
                <w:szCs w:val="22"/>
              </w:rPr>
              <w:t xml:space="preserve"> final:                  5</w:t>
            </w:r>
            <w:r w:rsidRPr="003635C8">
              <w:rPr>
                <w:sz w:val="22"/>
                <w:szCs w:val="22"/>
              </w:rPr>
              <w:t xml:space="preserve">0%        </w:t>
            </w:r>
          </w:p>
          <w:p w:rsidR="007D3414" w:rsidRPr="003635C8" w:rsidRDefault="007D3414" w:rsidP="00E33D0A">
            <w:pPr>
              <w:pStyle w:val="NoSpacing"/>
              <w:rPr>
                <w:sz w:val="22"/>
                <w:szCs w:val="22"/>
              </w:rPr>
            </w:pPr>
          </w:p>
          <w:p w:rsidR="007D3414" w:rsidRDefault="007D3414" w:rsidP="00E33D0A">
            <w:pPr>
              <w:pStyle w:val="NoSpacing"/>
              <w:rPr>
                <w:sz w:val="22"/>
                <w:szCs w:val="22"/>
              </w:rPr>
            </w:pPr>
            <w:r w:rsidRPr="003635C8">
              <w:rPr>
                <w:sz w:val="22"/>
                <w:szCs w:val="22"/>
              </w:rPr>
              <w:t>TOTALI:                           100%</w:t>
            </w:r>
          </w:p>
          <w:p w:rsidR="00205715" w:rsidRDefault="00205715" w:rsidP="00E33D0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Kufiri i kalueshmërisë është 51%</w:t>
            </w:r>
          </w:p>
          <w:p w:rsidR="00DA3782" w:rsidRPr="003635C8" w:rsidRDefault="00DA3782" w:rsidP="00E33D0A">
            <w:pPr>
              <w:pStyle w:val="NoSpacing"/>
              <w:rPr>
                <w:sz w:val="22"/>
                <w:szCs w:val="22"/>
              </w:rPr>
            </w:pPr>
          </w:p>
        </w:tc>
      </w:tr>
      <w:tr w:rsidR="007D3414" w:rsidRPr="00777D28" w:rsidTr="00E33D0A">
        <w:tc>
          <w:tcPr>
            <w:tcW w:w="8856" w:type="dxa"/>
            <w:gridSpan w:val="4"/>
            <w:shd w:val="clear" w:color="auto" w:fill="B8CCE4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7D3414" w:rsidRPr="003635C8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7D3414" w:rsidRPr="00EF6EBF" w:rsidRDefault="00F70F38" w:rsidP="00E33D0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Drita Konxheli Radoniqi:</w:t>
            </w:r>
            <w:r w:rsidR="007D3414" w:rsidRPr="00EF6EBF">
              <w:rPr>
                <w:sz w:val="22"/>
                <w:szCs w:val="22"/>
              </w:rPr>
              <w:t xml:space="preserve"> Financat Pu</w:t>
            </w:r>
            <w:r w:rsidR="00DA3782">
              <w:rPr>
                <w:sz w:val="22"/>
                <w:szCs w:val="22"/>
              </w:rPr>
              <w:t xml:space="preserve">blike, </w:t>
            </w:r>
            <w:r w:rsidR="007D3414" w:rsidRPr="00EF6E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IFK, Prishtinë, 2019;</w:t>
            </w:r>
          </w:p>
          <w:p w:rsidR="007D3414" w:rsidRPr="003635C8" w:rsidRDefault="007D3414" w:rsidP="00F70F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D3414" w:rsidRPr="006E76B4" w:rsidTr="00E33D0A">
        <w:tc>
          <w:tcPr>
            <w:tcW w:w="3617" w:type="dxa"/>
          </w:tcPr>
          <w:p w:rsidR="007D3414" w:rsidRPr="00777D28" w:rsidRDefault="007D3414" w:rsidP="00E33D0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205715" w:rsidRDefault="00205715" w:rsidP="00205715">
            <w:pPr>
              <w:jc w:val="both"/>
            </w:pPr>
            <w:r w:rsidRPr="003635C8">
              <w:rPr>
                <w:sz w:val="22"/>
                <w:szCs w:val="22"/>
              </w:rPr>
              <w:t>Harvey S. Rosen: Financa Publike, albin, Tiranë, 2003;</w:t>
            </w:r>
          </w:p>
          <w:p w:rsidR="00F70F38" w:rsidRPr="003635C8" w:rsidRDefault="00F70F38" w:rsidP="00205715">
            <w:pPr>
              <w:jc w:val="both"/>
            </w:pPr>
          </w:p>
          <w:p w:rsidR="00F70F38" w:rsidRPr="00EF6EBF" w:rsidRDefault="00F70F38" w:rsidP="00F70F38">
            <w:pPr>
              <w:jc w:val="both"/>
            </w:pPr>
            <w:r w:rsidRPr="00EF6EBF">
              <w:rPr>
                <w:sz w:val="22"/>
                <w:szCs w:val="22"/>
              </w:rPr>
              <w:t>Prof. Dr. Sabahudin Komoni: Financat Publike, Prishtinë, 2008;</w:t>
            </w:r>
          </w:p>
          <w:p w:rsidR="007D3414" w:rsidRPr="006E76B4" w:rsidRDefault="007D3414" w:rsidP="00E33D0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7D3414" w:rsidRPr="00777D28" w:rsidTr="00E33D0A">
        <w:tc>
          <w:tcPr>
            <w:tcW w:w="8856" w:type="dxa"/>
            <w:gridSpan w:val="2"/>
            <w:shd w:val="clear" w:color="auto" w:fill="B8CCE4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lastRenderedPageBreak/>
              <w:t xml:space="preserve">Plani i dizejnuar i mësimit:  </w:t>
            </w:r>
          </w:p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</w:p>
        </w:tc>
      </w:tr>
      <w:tr w:rsidR="007D3414" w:rsidRPr="00777D28" w:rsidTr="00E33D0A">
        <w:tc>
          <w:tcPr>
            <w:tcW w:w="2718" w:type="dxa"/>
            <w:shd w:val="clear" w:color="auto" w:fill="B8CCE4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Ligjerata q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 xml:space="preserve"> do t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 xml:space="preserve"> zhvillohet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138" w:type="dxa"/>
          </w:tcPr>
          <w:p w:rsidR="007D3414" w:rsidRPr="0064264F" w:rsidRDefault="005D7CEA" w:rsidP="00E33D0A">
            <w:pPr>
              <w:spacing w:line="360" w:lineRule="auto"/>
              <w:jc w:val="both"/>
            </w:pPr>
            <w:r>
              <w:t>Prezantimi i Syllabus-it</w:t>
            </w:r>
          </w:p>
        </w:tc>
      </w:tr>
      <w:tr w:rsidR="007D3414" w:rsidRPr="0064264F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138" w:type="dxa"/>
          </w:tcPr>
          <w:p w:rsidR="00F70F38" w:rsidRDefault="005D7CEA" w:rsidP="00E33D0A">
            <w:pPr>
              <w:spacing w:line="360" w:lineRule="auto"/>
              <w:jc w:val="both"/>
              <w:rPr>
                <w:lang w:val="de-DE"/>
              </w:rPr>
            </w:pPr>
            <w:r w:rsidRPr="0064264F">
              <w:t>Vështrim mbi Financat Publike</w:t>
            </w:r>
          </w:p>
          <w:p w:rsidR="007D3414" w:rsidRPr="0064264F" w:rsidRDefault="00F70F38" w:rsidP="00F70F38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Qeveria dhe baza ekonomike e aktiviteteve të saj</w:t>
            </w:r>
            <w:r w:rsidR="007D3414" w:rsidRPr="0064264F">
              <w:rPr>
                <w:lang w:val="de-DE"/>
              </w:rPr>
              <w:t xml:space="preserve"> </w:t>
            </w:r>
          </w:p>
        </w:tc>
      </w:tr>
      <w:tr w:rsidR="007D3414" w:rsidRPr="0064264F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tretë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7D3414" w:rsidRPr="0064264F" w:rsidRDefault="00F70F38" w:rsidP="00E33D0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7D3414" w:rsidRPr="0064264F">
              <w:rPr>
                <w:lang w:val="de-DE"/>
              </w:rPr>
              <w:t>ë mirat publike</w:t>
            </w:r>
            <w:r>
              <w:rPr>
                <w:lang w:val="de-DE"/>
              </w:rPr>
              <w:t>, eksternalitetet</w:t>
            </w:r>
            <w:r w:rsidR="007D3414" w:rsidRPr="0064264F">
              <w:rPr>
                <w:lang w:val="de-DE"/>
              </w:rPr>
              <w:t xml:space="preserve"> dhe zgjedhja publike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138" w:type="dxa"/>
          </w:tcPr>
          <w:p w:rsidR="007D3414" w:rsidRPr="0064264F" w:rsidRDefault="007D3414" w:rsidP="00E33D0A">
            <w:pPr>
              <w:spacing w:line="360" w:lineRule="auto"/>
              <w:jc w:val="both"/>
            </w:pPr>
            <w:r w:rsidRPr="0064264F">
              <w:t>Të dalat publike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pestë: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7D3414" w:rsidRPr="0064264F" w:rsidRDefault="007D3414" w:rsidP="00E33D0A">
            <w:pPr>
              <w:spacing w:line="360" w:lineRule="auto"/>
              <w:jc w:val="both"/>
            </w:pPr>
            <w:r w:rsidRPr="0064264F">
              <w:t>Të hyrat publike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gjashtë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7D3414" w:rsidRPr="0064264F" w:rsidRDefault="007D3414" w:rsidP="00E33D0A">
            <w:pPr>
              <w:spacing w:line="360" w:lineRule="auto"/>
              <w:jc w:val="both"/>
            </w:pPr>
            <w:r w:rsidRPr="0064264F">
              <w:t>Kolokviumi i parë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shtatë: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7D3414" w:rsidRPr="0064264F" w:rsidRDefault="007D3414" w:rsidP="00E33D0A">
            <w:pPr>
              <w:spacing w:line="360" w:lineRule="auto"/>
              <w:jc w:val="both"/>
            </w:pPr>
            <w:r w:rsidRPr="0064264F">
              <w:t>Tatimet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tetë: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7D3414" w:rsidRPr="0064264F" w:rsidRDefault="007D3414" w:rsidP="00E33D0A">
            <w:pPr>
              <w:spacing w:line="360" w:lineRule="auto"/>
              <w:jc w:val="both"/>
            </w:pPr>
            <w:r w:rsidRPr="0064264F">
              <w:t>Parimet tatimore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nëntë: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7D3414" w:rsidRPr="0064264F" w:rsidRDefault="00F70F38" w:rsidP="00F70F38">
            <w:pPr>
              <w:spacing w:line="360" w:lineRule="auto"/>
              <w:jc w:val="both"/>
            </w:pPr>
            <w:r>
              <w:t>Borxhi publik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138" w:type="dxa"/>
          </w:tcPr>
          <w:p w:rsidR="007D3414" w:rsidRPr="0064264F" w:rsidRDefault="00F70F38" w:rsidP="00F70F38">
            <w:pPr>
              <w:spacing w:line="360" w:lineRule="auto"/>
              <w:jc w:val="both"/>
            </w:pPr>
            <w:r w:rsidRPr="0064264F">
              <w:t xml:space="preserve">Financat publike në Kosovë </w:t>
            </w:r>
          </w:p>
        </w:tc>
      </w:tr>
      <w:tr w:rsidR="007D3414" w:rsidRPr="00777D28" w:rsidTr="00E33D0A">
        <w:tc>
          <w:tcPr>
            <w:tcW w:w="2718" w:type="dxa"/>
          </w:tcPr>
          <w:p w:rsidR="007D3414" w:rsidRPr="00777D28" w:rsidRDefault="007D3414" w:rsidP="00E33D0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njëmbedhjetë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7D3414" w:rsidRPr="0064264F" w:rsidRDefault="00F70F38" w:rsidP="00F70F38">
            <w:pPr>
              <w:spacing w:line="360" w:lineRule="auto"/>
              <w:jc w:val="both"/>
            </w:pPr>
            <w:r w:rsidRPr="0064264F">
              <w:t xml:space="preserve">Sistemi tatimor në Kosovë </w:t>
            </w:r>
          </w:p>
        </w:tc>
      </w:tr>
      <w:tr w:rsidR="00F70F38" w:rsidRPr="00777D28" w:rsidTr="00E33D0A">
        <w:tc>
          <w:tcPr>
            <w:tcW w:w="2718" w:type="dxa"/>
          </w:tcPr>
          <w:p w:rsidR="00F70F38" w:rsidRPr="00777D28" w:rsidRDefault="00F70F38" w:rsidP="00F70F3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dymbëdhjetë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F70F38" w:rsidRPr="0064264F" w:rsidRDefault="00F70F38" w:rsidP="00F70F38">
            <w:pPr>
              <w:spacing w:line="360" w:lineRule="auto"/>
              <w:jc w:val="both"/>
            </w:pPr>
            <w:r>
              <w:t xml:space="preserve">Doganat </w:t>
            </w:r>
          </w:p>
        </w:tc>
      </w:tr>
      <w:tr w:rsidR="00F70F38" w:rsidRPr="00777D28" w:rsidTr="00E33D0A">
        <w:tc>
          <w:tcPr>
            <w:tcW w:w="2718" w:type="dxa"/>
          </w:tcPr>
          <w:p w:rsidR="00F70F38" w:rsidRPr="00777D28" w:rsidRDefault="00F70F38" w:rsidP="00F70F3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trembëdhjetë</w:t>
            </w:r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F70F38" w:rsidRPr="0064264F" w:rsidRDefault="00F31BBC" w:rsidP="00F31BBC">
            <w:pPr>
              <w:spacing w:line="360" w:lineRule="auto"/>
              <w:jc w:val="both"/>
            </w:pPr>
            <w:r>
              <w:t xml:space="preserve">Buxheti </w:t>
            </w:r>
            <w:r w:rsidR="00F70F38">
              <w:t xml:space="preserve"> </w:t>
            </w:r>
          </w:p>
        </w:tc>
      </w:tr>
      <w:tr w:rsidR="00F70F38" w:rsidRPr="00777D28" w:rsidTr="00E33D0A">
        <w:tc>
          <w:tcPr>
            <w:tcW w:w="2718" w:type="dxa"/>
          </w:tcPr>
          <w:p w:rsidR="00F70F38" w:rsidRPr="00777D28" w:rsidRDefault="00F70F38" w:rsidP="00F70F3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katërmbëdhjetë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F70F38" w:rsidRPr="0064264F" w:rsidRDefault="00F31BBC" w:rsidP="00F31BBC">
            <w:pPr>
              <w:spacing w:line="360" w:lineRule="auto"/>
              <w:jc w:val="both"/>
            </w:pPr>
            <w:r w:rsidRPr="0064264F">
              <w:t xml:space="preserve">Kolokviumi i dytë </w:t>
            </w:r>
          </w:p>
        </w:tc>
      </w:tr>
      <w:tr w:rsidR="00F70F38" w:rsidRPr="00777D28" w:rsidTr="00E33D0A">
        <w:tc>
          <w:tcPr>
            <w:tcW w:w="2718" w:type="dxa"/>
          </w:tcPr>
          <w:p w:rsidR="00F70F38" w:rsidRPr="00777D28" w:rsidRDefault="00F70F38" w:rsidP="00F70F3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pesëmbëdhjetë</w:t>
            </w:r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F70F38" w:rsidRPr="0064264F" w:rsidRDefault="00F31BBC" w:rsidP="00F31BBC">
            <w:pPr>
              <w:spacing w:line="360" w:lineRule="auto"/>
              <w:jc w:val="both"/>
            </w:pPr>
            <w:r>
              <w:t>Sistemi buxhetor</w:t>
            </w:r>
            <w:r w:rsidR="00F70F38" w:rsidRPr="0064264F">
              <w:t xml:space="preserve"> i </w:t>
            </w:r>
            <w:r>
              <w:t>Republikës së Kosovës</w:t>
            </w:r>
          </w:p>
        </w:tc>
      </w:tr>
      <w:tr w:rsidR="00F70F38" w:rsidRPr="00777D28" w:rsidTr="00E33D0A">
        <w:tc>
          <w:tcPr>
            <w:tcW w:w="2718" w:type="dxa"/>
          </w:tcPr>
          <w:p w:rsidR="00F70F38" w:rsidRPr="00777D28" w:rsidRDefault="00F70F38" w:rsidP="00F70F3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138" w:type="dxa"/>
          </w:tcPr>
          <w:p w:rsidR="00F70F38" w:rsidRPr="0064264F" w:rsidRDefault="00F70F38" w:rsidP="00F70F38">
            <w:pPr>
              <w:spacing w:line="360" w:lineRule="auto"/>
              <w:jc w:val="both"/>
            </w:pPr>
            <w:r w:rsidRPr="0064264F">
              <w:t>Provimi final</w:t>
            </w:r>
          </w:p>
        </w:tc>
      </w:tr>
    </w:tbl>
    <w:p w:rsidR="007D3414" w:rsidRPr="00CF116F" w:rsidRDefault="007D3414" w:rsidP="007D3414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D3414" w:rsidRPr="009E4EC0" w:rsidTr="00E33D0A">
        <w:tc>
          <w:tcPr>
            <w:tcW w:w="8856" w:type="dxa"/>
            <w:shd w:val="clear" w:color="auto" w:fill="B8CCE4"/>
          </w:tcPr>
          <w:p w:rsidR="007D3414" w:rsidRPr="009E4EC0" w:rsidRDefault="007D3414" w:rsidP="00E33D0A">
            <w:pPr>
              <w:jc w:val="center"/>
              <w:rPr>
                <w:rFonts w:ascii="Calibri" w:hAnsi="Calibri"/>
                <w:b/>
                <w:lang w:val="de-DE"/>
              </w:rPr>
            </w:pPr>
            <w:r w:rsidRPr="009E4EC0">
              <w:rPr>
                <w:rFonts w:ascii="Calibri" w:hAnsi="Calibri"/>
                <w:b/>
                <w:lang w:val="de-DE"/>
              </w:rPr>
              <w:t>Politikat akademike dhe rregullat e mirësjelljes:</w:t>
            </w:r>
          </w:p>
        </w:tc>
      </w:tr>
      <w:tr w:rsidR="007D3414" w:rsidRPr="009E4EC0" w:rsidTr="00E33D0A">
        <w:trPr>
          <w:trHeight w:val="1088"/>
        </w:trPr>
        <w:tc>
          <w:tcPr>
            <w:tcW w:w="8856" w:type="dxa"/>
          </w:tcPr>
          <w:p w:rsidR="007D3414" w:rsidRPr="009E4EC0" w:rsidRDefault="007D3414" w:rsidP="00E33D0A">
            <w:pPr>
              <w:rPr>
                <w:rFonts w:ascii="Calibri" w:hAnsi="Calibri"/>
                <w:b/>
                <w:i/>
                <w:lang w:val="de-DE"/>
              </w:rPr>
            </w:pPr>
          </w:p>
          <w:p w:rsidR="007D3414" w:rsidRPr="0064264F" w:rsidRDefault="007D3414" w:rsidP="007D3414">
            <w:pPr>
              <w:numPr>
                <w:ilvl w:val="0"/>
                <w:numId w:val="2"/>
              </w:numPr>
              <w:rPr>
                <w:color w:val="262626"/>
                <w:lang w:val="de-DE"/>
              </w:rPr>
            </w:pPr>
            <w:r w:rsidRPr="00603B51">
              <w:rPr>
                <w:sz w:val="22"/>
                <w:szCs w:val="22"/>
                <w:lang w:val="de-DE"/>
              </w:rPr>
              <w:t>Studentët duhet të respektojnë orarin e mësimit  dhe ardhja në ligjërata është e obligueshme.</w:t>
            </w:r>
          </w:p>
          <w:p w:rsidR="00A34C0A" w:rsidRPr="002D4400" w:rsidRDefault="007D3414" w:rsidP="00A34C0A">
            <w:pPr>
              <w:numPr>
                <w:ilvl w:val="0"/>
                <w:numId w:val="2"/>
              </w:numPr>
              <w:rPr>
                <w:color w:val="262626"/>
                <w:lang w:val="de-DE"/>
              </w:rPr>
            </w:pPr>
            <w:r w:rsidRPr="0064264F">
              <w:rPr>
                <w:sz w:val="22"/>
                <w:szCs w:val="22"/>
                <w:lang w:val="de-DE"/>
              </w:rPr>
              <w:t xml:space="preserve"> Celularët duhet të shkyçen </w:t>
            </w:r>
            <w:r w:rsidR="00A34C0A">
              <w:t xml:space="preserve">dhe të mos ekspozohen </w:t>
            </w:r>
            <w:r w:rsidR="00A34C0A" w:rsidRPr="0064264F">
              <w:rPr>
                <w:sz w:val="22"/>
                <w:szCs w:val="22"/>
                <w:lang w:val="de-DE"/>
              </w:rPr>
              <w:t xml:space="preserve">gjatë kohës së ligjëratave. </w:t>
            </w:r>
          </w:p>
          <w:p w:rsidR="007D3414" w:rsidRPr="00A34C0A" w:rsidRDefault="00A34C0A" w:rsidP="00A34C0A">
            <w:pPr>
              <w:numPr>
                <w:ilvl w:val="0"/>
                <w:numId w:val="2"/>
              </w:numPr>
              <w:rPr>
                <w:color w:val="262626"/>
                <w:lang w:val="de-DE"/>
              </w:rPr>
            </w:pPr>
            <w:r>
              <w:t>Nga të gjithë pritet të jenë të sjellshëm dhe të respektueshëm ndaj të tjerëve gjatë diskutimeve, dhe nuk bënë të përdorët gjuhë e pahijshme.</w:t>
            </w:r>
            <w:r w:rsidR="007D3414" w:rsidRPr="00A34C0A">
              <w:rPr>
                <w:sz w:val="22"/>
                <w:szCs w:val="22"/>
                <w:lang w:val="de-DE"/>
              </w:rPr>
              <w:t xml:space="preserve"> </w:t>
            </w:r>
          </w:p>
          <w:p w:rsidR="007D3414" w:rsidRPr="0064264F" w:rsidRDefault="007D3414" w:rsidP="007D3414">
            <w:pPr>
              <w:numPr>
                <w:ilvl w:val="0"/>
                <w:numId w:val="2"/>
              </w:numPr>
              <w:rPr>
                <w:color w:val="262626"/>
                <w:lang w:val="de-DE"/>
              </w:rPr>
            </w:pPr>
            <w:r w:rsidRPr="0064264F">
              <w:rPr>
                <w:color w:val="262626"/>
                <w:sz w:val="22"/>
                <w:szCs w:val="22"/>
                <w:lang w:val="de-DE"/>
              </w:rPr>
              <w:t>Është i obliguar p</w:t>
            </w:r>
            <w:r w:rsidR="00EF6EBF">
              <w:rPr>
                <w:color w:val="262626"/>
                <w:sz w:val="22"/>
                <w:szCs w:val="22"/>
                <w:lang w:val="de-DE"/>
              </w:rPr>
              <w:t>osedimi dhe paraqitja e ID kartelës</w:t>
            </w:r>
            <w:r w:rsidRPr="0064264F">
              <w:rPr>
                <w:color w:val="262626"/>
                <w:sz w:val="22"/>
                <w:szCs w:val="22"/>
                <w:lang w:val="de-DE"/>
              </w:rPr>
              <w:t xml:space="preserve"> në kolokviume dhe në provim.</w:t>
            </w:r>
          </w:p>
          <w:p w:rsidR="007D3414" w:rsidRPr="009E4EC0" w:rsidRDefault="007D3414" w:rsidP="00E33D0A">
            <w:pPr>
              <w:rPr>
                <w:rFonts w:ascii="Calibri" w:hAnsi="Calibri"/>
                <w:b/>
                <w:i/>
                <w:lang w:val="de-DE"/>
              </w:rPr>
            </w:pPr>
          </w:p>
        </w:tc>
      </w:tr>
    </w:tbl>
    <w:p w:rsidR="007D3414" w:rsidRPr="009E4EC0" w:rsidRDefault="007D3414" w:rsidP="007D3414">
      <w:pPr>
        <w:rPr>
          <w:rFonts w:ascii="Calibri" w:hAnsi="Calibri"/>
          <w:b/>
          <w:sz w:val="28"/>
          <w:szCs w:val="28"/>
          <w:lang w:val="de-DE"/>
        </w:rPr>
      </w:pPr>
    </w:p>
    <w:p w:rsidR="007D3414" w:rsidRPr="009E4EC0" w:rsidRDefault="007D3414" w:rsidP="007D3414">
      <w:pPr>
        <w:rPr>
          <w:rFonts w:ascii="Calibri" w:hAnsi="Calibri"/>
          <w:b/>
          <w:sz w:val="28"/>
          <w:szCs w:val="28"/>
          <w:lang w:val="de-DE"/>
        </w:rPr>
      </w:pPr>
    </w:p>
    <w:p w:rsidR="0041057C" w:rsidRDefault="0041057C"/>
    <w:sectPr w:rsidR="0041057C" w:rsidSect="0074195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66" w:rsidRDefault="00272E66" w:rsidP="00741959">
      <w:r>
        <w:separator/>
      </w:r>
    </w:p>
  </w:endnote>
  <w:endnote w:type="continuationSeparator" w:id="0">
    <w:p w:rsidR="00272E66" w:rsidRDefault="00272E66" w:rsidP="007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90" w:rsidRDefault="00D75099" w:rsidP="009B3F0A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EF6EB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3F7B90" w:rsidRDefault="003F4AF4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90" w:rsidRDefault="00D75099" w:rsidP="009B3F0A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EF6EB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3F4AF4"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:rsidR="003F7B90" w:rsidRDefault="003F4AF4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66" w:rsidRDefault="00272E66" w:rsidP="00741959">
      <w:r>
        <w:separator/>
      </w:r>
    </w:p>
  </w:footnote>
  <w:footnote w:type="continuationSeparator" w:id="0">
    <w:p w:rsidR="00272E66" w:rsidRDefault="00272E66" w:rsidP="007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E00"/>
    <w:multiLevelType w:val="hybridMultilevel"/>
    <w:tmpl w:val="3BD00E52"/>
    <w:lvl w:ilvl="0" w:tplc="A44C7D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EB9"/>
    <w:multiLevelType w:val="hybridMultilevel"/>
    <w:tmpl w:val="E03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14"/>
    <w:rsid w:val="00023251"/>
    <w:rsid w:val="00052464"/>
    <w:rsid w:val="000820FE"/>
    <w:rsid w:val="00205715"/>
    <w:rsid w:val="00272E66"/>
    <w:rsid w:val="00375C42"/>
    <w:rsid w:val="003B41FB"/>
    <w:rsid w:val="003F4AF4"/>
    <w:rsid w:val="004035F5"/>
    <w:rsid w:val="0041057C"/>
    <w:rsid w:val="004303C6"/>
    <w:rsid w:val="004955CE"/>
    <w:rsid w:val="00574997"/>
    <w:rsid w:val="00590159"/>
    <w:rsid w:val="005C0A50"/>
    <w:rsid w:val="005D7CEA"/>
    <w:rsid w:val="00641179"/>
    <w:rsid w:val="00677322"/>
    <w:rsid w:val="006B5673"/>
    <w:rsid w:val="006C3F56"/>
    <w:rsid w:val="006F79B8"/>
    <w:rsid w:val="007022F6"/>
    <w:rsid w:val="00712731"/>
    <w:rsid w:val="00741959"/>
    <w:rsid w:val="0077638E"/>
    <w:rsid w:val="007B05AF"/>
    <w:rsid w:val="007D3414"/>
    <w:rsid w:val="008543DC"/>
    <w:rsid w:val="008B3E7F"/>
    <w:rsid w:val="009167BC"/>
    <w:rsid w:val="00A34C0A"/>
    <w:rsid w:val="00BC06BF"/>
    <w:rsid w:val="00CD3A53"/>
    <w:rsid w:val="00CE4268"/>
    <w:rsid w:val="00D75099"/>
    <w:rsid w:val="00DA3782"/>
    <w:rsid w:val="00DC07AF"/>
    <w:rsid w:val="00E63802"/>
    <w:rsid w:val="00EF6EBF"/>
    <w:rsid w:val="00EF7DA0"/>
    <w:rsid w:val="00F31BBC"/>
    <w:rsid w:val="00F428FE"/>
    <w:rsid w:val="00F70F38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1480"/>
  <w15:docId w15:val="{14378CF3-0EF8-485A-95F9-AE21DAA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autoRedefine/>
    <w:qFormat/>
    <w:rsid w:val="004955CE"/>
    <w:pPr>
      <w:numPr>
        <w:ilvl w:val="1"/>
      </w:numPr>
    </w:pPr>
    <w:rPr>
      <w:rFonts w:ascii="Cambria Math" w:eastAsiaTheme="majorEastAsia" w:hAnsi="Cambria Math" w:cstheme="majorBidi"/>
      <w:i/>
      <w:iCs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5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rsid w:val="007D3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4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414"/>
  </w:style>
  <w:style w:type="paragraph" w:styleId="NoSpacing">
    <w:name w:val="No Spacing"/>
    <w:uiPriority w:val="1"/>
    <w:qFormat/>
    <w:rsid w:val="007D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D3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ta.konxheli@uni-p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52F2-9410-4BE7-AA4E-44CAA64E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Vlora Prenaj</cp:lastModifiedBy>
  <cp:revision>7</cp:revision>
  <cp:lastPrinted>2019-06-22T10:23:00Z</cp:lastPrinted>
  <dcterms:created xsi:type="dcterms:W3CDTF">2019-06-23T20:07:00Z</dcterms:created>
  <dcterms:modified xsi:type="dcterms:W3CDTF">2019-09-02T21:28:00Z</dcterms:modified>
</cp:coreProperties>
</file>