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1DC9" w14:textId="77777777" w:rsidR="00AE755D" w:rsidRPr="00C11A20" w:rsidRDefault="00C10F09" w:rsidP="00FA3B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bookmarkStart w:id="0" w:name="_GoBack"/>
      <w:r w:rsidRPr="00C11A2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SYLLABUSI</w:t>
      </w:r>
      <w:r w:rsidR="00FA3B0B" w:rsidRPr="00C11A2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i</w:t>
      </w:r>
      <w:r w:rsidR="00117B20" w:rsidRPr="00C11A2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Lëndës</w:t>
      </w:r>
      <w:r w:rsidR="001479AA" w:rsidRPr="00C11A2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Sociologji Ekonomike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098"/>
        <w:gridCol w:w="2098"/>
        <w:gridCol w:w="2099"/>
      </w:tblGrid>
      <w:tr w:rsidR="00FA3B0B" w:rsidRPr="00C11A20" w14:paraId="60698DB4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2A497DBD" w14:textId="77777777" w:rsidR="00FA3B0B" w:rsidRPr="00C11A20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dh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nat Bazike p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 l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</w:t>
            </w:r>
          </w:p>
        </w:tc>
      </w:tr>
      <w:tr w:rsidR="00FA3B0B" w:rsidRPr="00C11A20" w14:paraId="16889204" w14:textId="77777777" w:rsidTr="005C209F">
        <w:trPr>
          <w:trHeight w:val="20"/>
        </w:trPr>
        <w:tc>
          <w:tcPr>
            <w:tcW w:w="3055" w:type="dxa"/>
          </w:tcPr>
          <w:p w14:paraId="4C6E2E9F" w14:textId="77777777" w:rsidR="00FA3B0B" w:rsidRPr="00C11A20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Nj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sia Akademike</w:t>
            </w:r>
            <w:r w:rsidR="006A34BC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39FF69BF" w14:textId="77777777" w:rsidR="00FA3B0B" w:rsidRPr="00C11A20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Fakulteti Ekonomik</w:t>
            </w:r>
          </w:p>
        </w:tc>
      </w:tr>
      <w:tr w:rsidR="00FA3B0B" w:rsidRPr="00C11A20" w14:paraId="0AAC91B0" w14:textId="77777777" w:rsidTr="005C209F">
        <w:trPr>
          <w:trHeight w:val="20"/>
        </w:trPr>
        <w:tc>
          <w:tcPr>
            <w:tcW w:w="3055" w:type="dxa"/>
          </w:tcPr>
          <w:p w14:paraId="10565DD3" w14:textId="77777777" w:rsidR="00FA3B0B" w:rsidRPr="00C11A20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Titulli i l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</w:t>
            </w:r>
            <w:r w:rsidR="006A34BC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5C5A2E3C" w14:textId="77777777" w:rsidR="00FA3B0B" w:rsidRPr="00C11A20" w:rsidRDefault="0061182A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Sociologji Ekonomike</w:t>
            </w:r>
          </w:p>
        </w:tc>
      </w:tr>
      <w:tr w:rsidR="00FA3B0B" w:rsidRPr="00C11A20" w14:paraId="6DA542BB" w14:textId="77777777" w:rsidTr="005C209F">
        <w:trPr>
          <w:trHeight w:val="20"/>
        </w:trPr>
        <w:tc>
          <w:tcPr>
            <w:tcW w:w="3055" w:type="dxa"/>
          </w:tcPr>
          <w:p w14:paraId="195DB0E8" w14:textId="77777777" w:rsidR="00FA3B0B" w:rsidRPr="00C11A20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Niveli</w:t>
            </w:r>
            <w:r w:rsidR="006A34BC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3A586EF3" w14:textId="77777777" w:rsidR="00FA3B0B" w:rsidRPr="00C11A20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Bachelor</w:t>
            </w:r>
          </w:p>
        </w:tc>
      </w:tr>
      <w:tr w:rsidR="00FA3B0B" w:rsidRPr="00C11A20" w14:paraId="59D3B573" w14:textId="77777777" w:rsidTr="005C209F">
        <w:trPr>
          <w:trHeight w:val="20"/>
        </w:trPr>
        <w:tc>
          <w:tcPr>
            <w:tcW w:w="3055" w:type="dxa"/>
          </w:tcPr>
          <w:p w14:paraId="77FDF3B2" w14:textId="77777777" w:rsidR="00FA3B0B" w:rsidRPr="00C11A20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Statusi i l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</w:t>
            </w:r>
            <w:r w:rsidR="006A34BC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647AE5EE" w14:textId="77777777" w:rsidR="00FA3B0B" w:rsidRPr="00C11A20" w:rsidRDefault="0061182A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Zgjedhore</w:t>
            </w:r>
          </w:p>
        </w:tc>
      </w:tr>
      <w:tr w:rsidR="00FA3B0B" w:rsidRPr="00C11A20" w14:paraId="0E038E83" w14:textId="77777777" w:rsidTr="005C209F">
        <w:trPr>
          <w:trHeight w:val="20"/>
        </w:trPr>
        <w:tc>
          <w:tcPr>
            <w:tcW w:w="3055" w:type="dxa"/>
          </w:tcPr>
          <w:p w14:paraId="29E4DC63" w14:textId="77777777" w:rsidR="00FA3B0B" w:rsidRPr="00C11A20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Viti i 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studimit</w:t>
            </w:r>
            <w:r w:rsidR="006A34BC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4BE7931D" w14:textId="77777777" w:rsidR="00FA3B0B" w:rsidRPr="00C11A20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Viti i par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– Semestri i par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</w:tc>
      </w:tr>
      <w:tr w:rsidR="00FA3B0B" w:rsidRPr="00C11A20" w14:paraId="77F8CD12" w14:textId="77777777" w:rsidTr="005C209F">
        <w:trPr>
          <w:trHeight w:val="20"/>
        </w:trPr>
        <w:tc>
          <w:tcPr>
            <w:tcW w:w="3055" w:type="dxa"/>
          </w:tcPr>
          <w:p w14:paraId="397EFC4D" w14:textId="77777777" w:rsidR="00FA3B0B" w:rsidRPr="00C11A20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Numri i or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ve p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 jav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57A1DF1A" w14:textId="77777777" w:rsidR="00FA3B0B" w:rsidRPr="00C11A20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2+0</w:t>
            </w:r>
          </w:p>
        </w:tc>
      </w:tr>
      <w:tr w:rsidR="00FA3B0B" w:rsidRPr="00C11A20" w14:paraId="6EEFEBF7" w14:textId="77777777" w:rsidTr="005C209F">
        <w:trPr>
          <w:trHeight w:val="20"/>
        </w:trPr>
        <w:tc>
          <w:tcPr>
            <w:tcW w:w="3055" w:type="dxa"/>
          </w:tcPr>
          <w:p w14:paraId="1EE02992" w14:textId="77777777" w:rsidR="00FA3B0B" w:rsidRPr="00C11A20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ECTS kredit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18A78D99" w14:textId="77777777" w:rsidR="00FA3B0B" w:rsidRPr="00C11A20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</w:tr>
      <w:tr w:rsidR="00FA3B0B" w:rsidRPr="00C11A20" w14:paraId="65D6F639" w14:textId="77777777" w:rsidTr="005C209F">
        <w:trPr>
          <w:trHeight w:val="20"/>
        </w:trPr>
        <w:tc>
          <w:tcPr>
            <w:tcW w:w="3055" w:type="dxa"/>
          </w:tcPr>
          <w:p w14:paraId="053C4437" w14:textId="77777777" w:rsidR="00FA3B0B" w:rsidRPr="00C11A20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Koha/Lokacioni</w:t>
            </w:r>
            <w:r w:rsidR="006A34BC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7411B197" w14:textId="77777777" w:rsidR="00FA3B0B" w:rsidRPr="00C11A20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Fakulteti Ekonomik, Universiteti i Prishtin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 “Hasan Prishtina”</w:t>
            </w:r>
          </w:p>
        </w:tc>
      </w:tr>
      <w:tr w:rsidR="00FA3B0B" w:rsidRPr="00C11A20" w14:paraId="0F36C000" w14:textId="77777777" w:rsidTr="005C209F">
        <w:trPr>
          <w:trHeight w:val="20"/>
        </w:trPr>
        <w:tc>
          <w:tcPr>
            <w:tcW w:w="3055" w:type="dxa"/>
          </w:tcPr>
          <w:p w14:paraId="02B0D907" w14:textId="77777777" w:rsidR="00FA3B0B" w:rsidRPr="00C11A20" w:rsidRDefault="00A424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Mësimdhënësi</w:t>
            </w:r>
            <w:r w:rsidR="00FA3B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i l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FA3B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FA3B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</w:t>
            </w:r>
            <w:r w:rsidR="006A34BC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55829FBC" w14:textId="0752926C" w:rsidR="00FA3B0B" w:rsidRPr="00C11A20" w:rsidRDefault="00C11A20" w:rsidP="001455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Prof. Dr. Beqir Sadikaj</w:t>
            </w:r>
          </w:p>
        </w:tc>
      </w:tr>
      <w:tr w:rsidR="00FA3B0B" w:rsidRPr="00C11A20" w14:paraId="074E44FC" w14:textId="77777777" w:rsidTr="005C209F">
        <w:trPr>
          <w:trHeight w:val="20"/>
        </w:trPr>
        <w:tc>
          <w:tcPr>
            <w:tcW w:w="3055" w:type="dxa"/>
          </w:tcPr>
          <w:p w14:paraId="42707C2B" w14:textId="77777777" w:rsidR="00FA3B0B" w:rsidRPr="00C11A20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Detajet kontaktuese t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m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simdh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sit</w:t>
            </w:r>
            <w:r w:rsidR="006A34BC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705851FD" w14:textId="168DDE8C" w:rsidR="00FA3B0B" w:rsidRPr="00C11A20" w:rsidRDefault="00C11A20" w:rsidP="006118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beqir.sadikaj@uni-pr.edu</w:t>
            </w:r>
          </w:p>
        </w:tc>
      </w:tr>
      <w:tr w:rsidR="006A34BC" w:rsidRPr="00C11A20" w14:paraId="39BD21F9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60B92494" w14:textId="77777777" w:rsidR="006A34BC" w:rsidRPr="00C11A20" w:rsidRDefault="006A34BC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FA3B0B" w:rsidRPr="00C11A20" w14:paraId="51877EDD" w14:textId="77777777" w:rsidTr="005C209F">
        <w:trPr>
          <w:trHeight w:val="20"/>
        </w:trPr>
        <w:tc>
          <w:tcPr>
            <w:tcW w:w="3055" w:type="dxa"/>
          </w:tcPr>
          <w:p w14:paraId="27CD2FFD" w14:textId="77777777" w:rsidR="00FA3B0B" w:rsidRPr="00C11A20" w:rsidRDefault="005E2F6E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rmbajtja e Lëndës:</w:t>
            </w:r>
          </w:p>
        </w:tc>
        <w:tc>
          <w:tcPr>
            <w:tcW w:w="6295" w:type="dxa"/>
            <w:gridSpan w:val="3"/>
          </w:tcPr>
          <w:p w14:paraId="05B6D149" w14:textId="77777777" w:rsidR="00FA3B0B" w:rsidRPr="00C11A20" w:rsidRDefault="0061182A" w:rsidP="007A39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Kjo 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sht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nj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sociologjin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aktivitetet e ekonomike dhe t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tregut n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shoq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ri kapitaliste. N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esenc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kjo l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synon të kuptojë se si aktivitetet racionale, ekonomike, lehtësohen, ndryshohen ose pengohen nga angazhimet kolektive, marrëdhëniet shoqërore dhe institucionet sociale.</w:t>
            </w:r>
            <w:r w:rsidR="0094109E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Ajo trajton se si variacionet dhe ndryshimet jan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94109E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krijuar n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94109E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strukturat shoq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94109E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rore dhe n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94109E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jetën</w:t>
            </w:r>
            <w:r w:rsidR="0094109E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ekonomike, dhe pasojat e bashk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94109E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punimit, racionalitetit 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konkurrencës</w:t>
            </w:r>
            <w:r w:rsidR="0094109E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ekonomike, drejt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94109E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sis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94109E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dhe zhvillimit ekonomik. </w:t>
            </w:r>
          </w:p>
        </w:tc>
      </w:tr>
      <w:tr w:rsidR="00850EA4" w:rsidRPr="00C11A20" w14:paraId="2F237783" w14:textId="77777777" w:rsidTr="005C209F">
        <w:trPr>
          <w:trHeight w:val="20"/>
        </w:trPr>
        <w:tc>
          <w:tcPr>
            <w:tcW w:w="3055" w:type="dxa"/>
          </w:tcPr>
          <w:p w14:paraId="561AB79B" w14:textId="77777777" w:rsidR="00850EA4" w:rsidRPr="00C11A20" w:rsidRDefault="00850EA4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Q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llimet e L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s:</w:t>
            </w:r>
          </w:p>
        </w:tc>
        <w:tc>
          <w:tcPr>
            <w:tcW w:w="6295" w:type="dxa"/>
            <w:gridSpan w:val="3"/>
          </w:tcPr>
          <w:p w14:paraId="5A028E8C" w14:textId="77777777" w:rsidR="00850EA4" w:rsidRPr="00C11A20" w:rsidRDefault="0094109E" w:rsidP="007A39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Kjo l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analizon pjes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 kryesore teorike t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sociologjis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ekonomike – institucionale, rrjetin, fuqin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ë, dhe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qasjen kognitive – dhe disa nga fushat kryesore – zhvillimin dhe globalizimin. Një nga qëllimet është të hulumtohet shkalla në të cilën paradigmat e ndryshme teorike shërbejnë si alternativa ndaj njëri-tjetrit ose si plotësuese t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nj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ri-tjetrit</w:t>
            </w:r>
            <w:r w:rsidR="007A3909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</w:tr>
      <w:tr w:rsidR="00850EA4" w:rsidRPr="00C11A20" w14:paraId="2A4A80B9" w14:textId="77777777" w:rsidTr="005C209F">
        <w:trPr>
          <w:trHeight w:val="20"/>
        </w:trPr>
        <w:tc>
          <w:tcPr>
            <w:tcW w:w="3055" w:type="dxa"/>
          </w:tcPr>
          <w:p w14:paraId="7EACB095" w14:textId="77777777" w:rsidR="00850EA4" w:rsidRPr="00C11A20" w:rsidRDefault="00850EA4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Rezultatet e pritura t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m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simnx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nies:</w:t>
            </w:r>
          </w:p>
        </w:tc>
        <w:tc>
          <w:tcPr>
            <w:tcW w:w="6295" w:type="dxa"/>
            <w:gridSpan w:val="3"/>
          </w:tcPr>
          <w:p w14:paraId="41FF35B8" w14:textId="77777777" w:rsidR="00850EA4" w:rsidRPr="00C11A20" w:rsidRDefault="00805A63" w:rsidP="007A39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 p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rfundimit t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s, nj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studiues do t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jet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gjendje t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:</w:t>
            </w:r>
          </w:p>
          <w:p w14:paraId="76BCBBC4" w14:textId="77777777" w:rsidR="00805A63" w:rsidRPr="00C11A20" w:rsidRDefault="00336CC4" w:rsidP="007A390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Të kuptuarit e ndërlidhjeve midis aspekteve t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 ekonomike, politike dhe kulturore në vendet në zhvillim;</w:t>
            </w:r>
          </w:p>
          <w:p w14:paraId="417C4BEF" w14:textId="77777777" w:rsidR="00336CC4" w:rsidRPr="00C11A20" w:rsidRDefault="00336CC4" w:rsidP="007A390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Të kuptojmë ndikimin e marrëdhënieve shoqërore dhe të institucioneve shoq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rore në zhvillimin ekonomik.</w:t>
            </w:r>
          </w:p>
          <w:p w14:paraId="5879E1DF" w14:textId="77777777" w:rsidR="00336CC4" w:rsidRPr="00C11A20" w:rsidRDefault="00336CC4" w:rsidP="007A390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Krahason strategjitë e ndryshme të zhvillimit;</w:t>
            </w:r>
          </w:p>
          <w:p w14:paraId="56DAFDE1" w14:textId="77777777" w:rsidR="00336CC4" w:rsidRPr="00C11A20" w:rsidRDefault="00336CC4" w:rsidP="007A390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Të identifikojë dhe të kuptojë pasojat e ndryshimeve shoqërore.</w:t>
            </w:r>
          </w:p>
        </w:tc>
      </w:tr>
      <w:tr w:rsidR="00440946" w:rsidRPr="00C11A20" w14:paraId="31C7FA1D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073906D6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lastRenderedPageBreak/>
              <w:t xml:space="preserve">Ngarkesa e punës së studentëve </w:t>
            </w:r>
            <w:r w:rsidRPr="00C11A2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(orë në semestër, ECTS)</w:t>
            </w:r>
          </w:p>
        </w:tc>
      </w:tr>
      <w:tr w:rsidR="00440946" w:rsidRPr="00C11A20" w14:paraId="56E54B3D" w14:textId="77777777" w:rsidTr="005C209F">
        <w:trPr>
          <w:trHeight w:val="20"/>
        </w:trPr>
        <w:tc>
          <w:tcPr>
            <w:tcW w:w="3055" w:type="dxa"/>
            <w:shd w:val="clear" w:color="auto" w:fill="BDD6EE" w:themeFill="accent1" w:themeFillTint="66"/>
          </w:tcPr>
          <w:p w14:paraId="5FD2F11E" w14:textId="77777777" w:rsidR="00440946" w:rsidRPr="00C11A20" w:rsidRDefault="00C10F0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Aktiviteti</w:t>
            </w:r>
          </w:p>
        </w:tc>
        <w:tc>
          <w:tcPr>
            <w:tcW w:w="2098" w:type="dxa"/>
            <w:shd w:val="clear" w:color="auto" w:fill="BDD6EE" w:themeFill="accent1" w:themeFillTint="66"/>
          </w:tcPr>
          <w:p w14:paraId="3A78E9C9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Jav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</w:p>
        </w:tc>
        <w:tc>
          <w:tcPr>
            <w:tcW w:w="2098" w:type="dxa"/>
            <w:shd w:val="clear" w:color="auto" w:fill="BDD6EE" w:themeFill="accent1" w:themeFillTint="66"/>
          </w:tcPr>
          <w:p w14:paraId="4BAD8E59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Or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</w:p>
        </w:tc>
        <w:tc>
          <w:tcPr>
            <w:tcW w:w="2099" w:type="dxa"/>
            <w:shd w:val="clear" w:color="auto" w:fill="BDD6EE" w:themeFill="accent1" w:themeFillTint="66"/>
          </w:tcPr>
          <w:p w14:paraId="5C3ACD5D" w14:textId="77777777" w:rsidR="00440946" w:rsidRPr="00C11A20" w:rsidRDefault="006A34BC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Totali</w:t>
            </w:r>
          </w:p>
        </w:tc>
      </w:tr>
      <w:tr w:rsidR="00440946" w:rsidRPr="00C11A20" w14:paraId="1B38315F" w14:textId="77777777" w:rsidTr="005C209F">
        <w:trPr>
          <w:trHeight w:val="20"/>
        </w:trPr>
        <w:tc>
          <w:tcPr>
            <w:tcW w:w="3055" w:type="dxa"/>
          </w:tcPr>
          <w:p w14:paraId="358456ED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Ligjërata</w:t>
            </w:r>
          </w:p>
        </w:tc>
        <w:tc>
          <w:tcPr>
            <w:tcW w:w="2098" w:type="dxa"/>
          </w:tcPr>
          <w:p w14:paraId="31078DED" w14:textId="77777777" w:rsidR="00440946" w:rsidRPr="00C11A20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13</w:t>
            </w:r>
          </w:p>
        </w:tc>
        <w:tc>
          <w:tcPr>
            <w:tcW w:w="2098" w:type="dxa"/>
          </w:tcPr>
          <w:p w14:paraId="09DC900C" w14:textId="77777777" w:rsidR="00440946" w:rsidRPr="00C11A20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2099" w:type="dxa"/>
          </w:tcPr>
          <w:p w14:paraId="6D8ED2C1" w14:textId="77777777" w:rsidR="00440946" w:rsidRPr="00C11A20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26</w:t>
            </w:r>
          </w:p>
        </w:tc>
      </w:tr>
      <w:tr w:rsidR="00440946" w:rsidRPr="00C11A20" w14:paraId="309B51B0" w14:textId="77777777" w:rsidTr="005C209F">
        <w:trPr>
          <w:trHeight w:val="20"/>
        </w:trPr>
        <w:tc>
          <w:tcPr>
            <w:tcW w:w="3055" w:type="dxa"/>
          </w:tcPr>
          <w:p w14:paraId="55CADBB5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Seminare (Teori dhe Praktik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4B2BBA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2098" w:type="dxa"/>
          </w:tcPr>
          <w:p w14:paraId="625B928E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8" w:type="dxa"/>
          </w:tcPr>
          <w:p w14:paraId="6E124FB0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9" w:type="dxa"/>
          </w:tcPr>
          <w:p w14:paraId="4F8807AD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946" w:rsidRPr="00C11A20" w14:paraId="22C3D4F2" w14:textId="77777777" w:rsidTr="005C209F">
        <w:trPr>
          <w:trHeight w:val="20"/>
        </w:trPr>
        <w:tc>
          <w:tcPr>
            <w:tcW w:w="3055" w:type="dxa"/>
          </w:tcPr>
          <w:p w14:paraId="51999E9C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Raste Studimore</w:t>
            </w:r>
          </w:p>
        </w:tc>
        <w:tc>
          <w:tcPr>
            <w:tcW w:w="2098" w:type="dxa"/>
          </w:tcPr>
          <w:p w14:paraId="0D66A011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8" w:type="dxa"/>
          </w:tcPr>
          <w:p w14:paraId="3517540A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9" w:type="dxa"/>
          </w:tcPr>
          <w:p w14:paraId="5AFFCF62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946" w:rsidRPr="00C11A20" w14:paraId="0B61DC07" w14:textId="77777777" w:rsidTr="005C209F">
        <w:trPr>
          <w:trHeight w:val="20"/>
        </w:trPr>
        <w:tc>
          <w:tcPr>
            <w:tcW w:w="3055" w:type="dxa"/>
          </w:tcPr>
          <w:p w14:paraId="4DCD026F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Kontaktet me mësimdhënësin/konsultimet</w:t>
            </w:r>
          </w:p>
        </w:tc>
        <w:tc>
          <w:tcPr>
            <w:tcW w:w="2098" w:type="dxa"/>
          </w:tcPr>
          <w:p w14:paraId="4CE330D8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8" w:type="dxa"/>
          </w:tcPr>
          <w:p w14:paraId="42D5A41D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9" w:type="dxa"/>
          </w:tcPr>
          <w:p w14:paraId="1905B79E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946" w:rsidRPr="00C11A20" w14:paraId="27798932" w14:textId="77777777" w:rsidTr="005C209F">
        <w:trPr>
          <w:trHeight w:val="20"/>
        </w:trPr>
        <w:tc>
          <w:tcPr>
            <w:tcW w:w="3055" w:type="dxa"/>
          </w:tcPr>
          <w:p w14:paraId="4442B1CA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Ushtrime n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Teren</w:t>
            </w:r>
          </w:p>
        </w:tc>
        <w:tc>
          <w:tcPr>
            <w:tcW w:w="2098" w:type="dxa"/>
          </w:tcPr>
          <w:p w14:paraId="4DAB6388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8" w:type="dxa"/>
          </w:tcPr>
          <w:p w14:paraId="43162761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9" w:type="dxa"/>
          </w:tcPr>
          <w:p w14:paraId="43F19F50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946" w:rsidRPr="00C11A20" w14:paraId="436F9F81" w14:textId="77777777" w:rsidTr="005C209F">
        <w:trPr>
          <w:trHeight w:val="20"/>
        </w:trPr>
        <w:tc>
          <w:tcPr>
            <w:tcW w:w="3055" w:type="dxa"/>
          </w:tcPr>
          <w:p w14:paraId="7C91016D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Kollekfiume (Teste)</w:t>
            </w:r>
          </w:p>
        </w:tc>
        <w:tc>
          <w:tcPr>
            <w:tcW w:w="2098" w:type="dxa"/>
          </w:tcPr>
          <w:p w14:paraId="61F0B0A0" w14:textId="77777777" w:rsidR="00440946" w:rsidRPr="00C11A20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2098" w:type="dxa"/>
          </w:tcPr>
          <w:p w14:paraId="69B4D80B" w14:textId="77777777" w:rsidR="00440946" w:rsidRPr="00C11A20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2099" w:type="dxa"/>
          </w:tcPr>
          <w:p w14:paraId="59D109BE" w14:textId="77777777" w:rsidR="00440946" w:rsidRPr="00C11A20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</w:tr>
      <w:tr w:rsidR="00440946" w:rsidRPr="00C11A20" w14:paraId="6D26810F" w14:textId="77777777" w:rsidTr="005C209F">
        <w:trPr>
          <w:trHeight w:val="20"/>
        </w:trPr>
        <w:tc>
          <w:tcPr>
            <w:tcW w:w="3055" w:type="dxa"/>
          </w:tcPr>
          <w:p w14:paraId="2C46FDC4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Detyra t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Sht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pis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</w:tc>
        <w:tc>
          <w:tcPr>
            <w:tcW w:w="2098" w:type="dxa"/>
          </w:tcPr>
          <w:p w14:paraId="3A82233E" w14:textId="4F8F1535" w:rsidR="00440946" w:rsidRPr="00C11A20" w:rsidRDefault="00C11A20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2098" w:type="dxa"/>
          </w:tcPr>
          <w:p w14:paraId="2D8ECF9A" w14:textId="3F2D64E6" w:rsidR="00440946" w:rsidRPr="00C11A20" w:rsidRDefault="00C11A20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2099" w:type="dxa"/>
          </w:tcPr>
          <w:p w14:paraId="5ABF04C3" w14:textId="77777777" w:rsidR="00440946" w:rsidRPr="00C11A20" w:rsidRDefault="00336CC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</w:t>
            </w:r>
          </w:p>
        </w:tc>
      </w:tr>
      <w:tr w:rsidR="00440946" w:rsidRPr="00C11A20" w14:paraId="28CF8C34" w14:textId="77777777" w:rsidTr="005C209F">
        <w:trPr>
          <w:trHeight w:val="20"/>
        </w:trPr>
        <w:tc>
          <w:tcPr>
            <w:tcW w:w="3055" w:type="dxa"/>
          </w:tcPr>
          <w:p w14:paraId="7931FC94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Studimit vetanake të studentit (në bibliotekë ose në shtëpi)</w:t>
            </w:r>
          </w:p>
        </w:tc>
        <w:tc>
          <w:tcPr>
            <w:tcW w:w="2098" w:type="dxa"/>
          </w:tcPr>
          <w:p w14:paraId="0DB3BBC5" w14:textId="00D35967" w:rsidR="00440946" w:rsidRPr="00C11A20" w:rsidRDefault="00C11A20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15</w:t>
            </w:r>
          </w:p>
        </w:tc>
        <w:tc>
          <w:tcPr>
            <w:tcW w:w="2098" w:type="dxa"/>
          </w:tcPr>
          <w:p w14:paraId="43372DBD" w14:textId="4719666F" w:rsidR="00440946" w:rsidRPr="00C11A20" w:rsidRDefault="00C11A20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2099" w:type="dxa"/>
          </w:tcPr>
          <w:p w14:paraId="36E275D7" w14:textId="77777777" w:rsidR="00440946" w:rsidRPr="00C11A20" w:rsidRDefault="00336CC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60</w:t>
            </w:r>
          </w:p>
        </w:tc>
      </w:tr>
      <w:tr w:rsidR="00440946" w:rsidRPr="00C11A20" w14:paraId="73F93176" w14:textId="77777777" w:rsidTr="005C209F">
        <w:trPr>
          <w:trHeight w:val="20"/>
        </w:trPr>
        <w:tc>
          <w:tcPr>
            <w:tcW w:w="3055" w:type="dxa"/>
          </w:tcPr>
          <w:p w14:paraId="3D426B3A" w14:textId="77777777" w:rsidR="00440946" w:rsidRPr="00C11A20" w:rsidRDefault="00A424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Përgatitja</w:t>
            </w:r>
            <w:r w:rsidR="00B13B48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B13B48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provimin final</w:t>
            </w:r>
          </w:p>
        </w:tc>
        <w:tc>
          <w:tcPr>
            <w:tcW w:w="2098" w:type="dxa"/>
          </w:tcPr>
          <w:p w14:paraId="38185CB9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8" w:type="dxa"/>
          </w:tcPr>
          <w:p w14:paraId="19A9F815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9" w:type="dxa"/>
          </w:tcPr>
          <w:p w14:paraId="289EED0F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946" w:rsidRPr="00C11A20" w14:paraId="1B314BBF" w14:textId="77777777" w:rsidTr="005C209F">
        <w:trPr>
          <w:trHeight w:val="20"/>
        </w:trPr>
        <w:tc>
          <w:tcPr>
            <w:tcW w:w="3055" w:type="dxa"/>
          </w:tcPr>
          <w:p w14:paraId="39EB73FA" w14:textId="77777777" w:rsidR="00440946" w:rsidRPr="00C11A20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Vler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simi</w:t>
            </w:r>
          </w:p>
        </w:tc>
        <w:tc>
          <w:tcPr>
            <w:tcW w:w="2098" w:type="dxa"/>
          </w:tcPr>
          <w:p w14:paraId="18CD1E41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8" w:type="dxa"/>
          </w:tcPr>
          <w:p w14:paraId="100E74B0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9" w:type="dxa"/>
          </w:tcPr>
          <w:p w14:paraId="159F4BF2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946" w:rsidRPr="00C11A20" w14:paraId="23AD3BEC" w14:textId="77777777" w:rsidTr="005C209F">
        <w:trPr>
          <w:trHeight w:val="20"/>
        </w:trPr>
        <w:tc>
          <w:tcPr>
            <w:tcW w:w="3055" w:type="dxa"/>
          </w:tcPr>
          <w:p w14:paraId="4D33A724" w14:textId="77777777" w:rsidR="00440946" w:rsidRPr="00C11A20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Projektet, prezantimet etj. </w:t>
            </w:r>
          </w:p>
        </w:tc>
        <w:tc>
          <w:tcPr>
            <w:tcW w:w="2098" w:type="dxa"/>
          </w:tcPr>
          <w:p w14:paraId="519FF83A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8" w:type="dxa"/>
          </w:tcPr>
          <w:p w14:paraId="0102B559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9" w:type="dxa"/>
          </w:tcPr>
          <w:p w14:paraId="5FF3B680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946" w:rsidRPr="00C11A20" w14:paraId="1C1E5410" w14:textId="77777777" w:rsidTr="005C209F">
        <w:trPr>
          <w:trHeight w:val="20"/>
        </w:trPr>
        <w:tc>
          <w:tcPr>
            <w:tcW w:w="3055" w:type="dxa"/>
            <w:shd w:val="clear" w:color="auto" w:fill="BDD6EE" w:themeFill="accent1" w:themeFillTint="66"/>
          </w:tcPr>
          <w:p w14:paraId="47E08F7F" w14:textId="77777777" w:rsidR="00440946" w:rsidRPr="00C11A20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Totali</w:t>
            </w:r>
          </w:p>
        </w:tc>
        <w:tc>
          <w:tcPr>
            <w:tcW w:w="2098" w:type="dxa"/>
            <w:shd w:val="clear" w:color="auto" w:fill="BDD6EE" w:themeFill="accent1" w:themeFillTint="66"/>
          </w:tcPr>
          <w:p w14:paraId="0CEDCEE9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8" w:type="dxa"/>
            <w:shd w:val="clear" w:color="auto" w:fill="BDD6EE" w:themeFill="accent1" w:themeFillTint="66"/>
          </w:tcPr>
          <w:p w14:paraId="1A2776F8" w14:textId="77777777" w:rsidR="00440946" w:rsidRPr="00C11A20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14:paraId="770BD604" w14:textId="77777777" w:rsidR="00440946" w:rsidRPr="00C11A20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100</w:t>
            </w:r>
          </w:p>
        </w:tc>
      </w:tr>
      <w:tr w:rsidR="006962EF" w:rsidRPr="00C11A20" w14:paraId="06AF920B" w14:textId="77777777" w:rsidTr="005C209F">
        <w:trPr>
          <w:trHeight w:val="20"/>
        </w:trPr>
        <w:tc>
          <w:tcPr>
            <w:tcW w:w="3055" w:type="dxa"/>
          </w:tcPr>
          <w:p w14:paraId="528B9FFC" w14:textId="77777777" w:rsidR="006962EF" w:rsidRPr="00C11A20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Metodologjia e M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simdh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nies</w:t>
            </w:r>
            <w:r w:rsidR="006A34BC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51856CE6" w14:textId="77777777" w:rsidR="006962EF" w:rsidRPr="00C11A20" w:rsidRDefault="006962EF" w:rsidP="00336C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Procesi i mësimdhënies organizohet nëpërmjet ligj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ratave duke zbatuar diskutimet interaktive, pun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ekipore dhe prezantimet e seminareve nga studentët, të cilat do të diskutohen gjatë klasës.</w:t>
            </w:r>
          </w:p>
        </w:tc>
      </w:tr>
      <w:tr w:rsidR="00440946" w:rsidRPr="00C11A20" w14:paraId="30CC5325" w14:textId="77777777" w:rsidTr="005C209F">
        <w:trPr>
          <w:trHeight w:val="20"/>
        </w:trPr>
        <w:tc>
          <w:tcPr>
            <w:tcW w:w="3055" w:type="dxa"/>
          </w:tcPr>
          <w:p w14:paraId="18826559" w14:textId="77777777" w:rsidR="00440946" w:rsidRPr="00C11A20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Metodat e Vler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simit</w:t>
            </w:r>
            <w:r w:rsidR="006A34BC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5D76C765" w14:textId="77777777" w:rsidR="00440946" w:rsidRPr="00C11A20" w:rsidRDefault="006962EF" w:rsidP="00336C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10% pjesëmarrje aktive në klasë; Përgatitja 10% dhe prezantimi i një seminari; Test 1 = 40%; Test 2 = 40%.</w:t>
            </w:r>
          </w:p>
        </w:tc>
      </w:tr>
      <w:tr w:rsidR="006962EF" w:rsidRPr="00C11A20" w14:paraId="42223BB5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299E8A09" w14:textId="77777777" w:rsidR="006962EF" w:rsidRPr="00C11A20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Literatura</w:t>
            </w:r>
            <w:r w:rsidR="006A34BC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</w:tr>
      <w:tr w:rsidR="006962EF" w:rsidRPr="00C11A20" w14:paraId="6342B6A4" w14:textId="77777777" w:rsidTr="005C209F">
        <w:trPr>
          <w:trHeight w:val="20"/>
        </w:trPr>
        <w:tc>
          <w:tcPr>
            <w:tcW w:w="3055" w:type="dxa"/>
          </w:tcPr>
          <w:p w14:paraId="365970B0" w14:textId="77777777" w:rsidR="006962EF" w:rsidRPr="00C11A20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Literatura baz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2044D2ED" w14:textId="77777777" w:rsidR="00336CC4" w:rsidRPr="00C11A20" w:rsidRDefault="00336CC4" w:rsidP="00336C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Sociology of Economic Life [Paperback]; Mark </w:t>
            </w:r>
            <w:proofErr w:type="spellStart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</w:rPr>
              <w:t>Granovetter</w:t>
            </w:r>
            <w:proofErr w:type="spellEnd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Richard </w:t>
            </w:r>
            <w:proofErr w:type="spellStart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17B20" w:rsidRPr="00C11A2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</w:rPr>
              <w:t>edberg</w:t>
            </w:r>
            <w:proofErr w:type="spellEnd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1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January 11, 2011</w:t>
            </w: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</w:rPr>
              <w:t>, ISBN-10:</w:t>
            </w:r>
            <w:r w:rsidRPr="00C11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0813344557, </w:t>
            </w: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</w:rPr>
              <w:t>ISBN-13:</w:t>
            </w:r>
            <w:r w:rsidRPr="00C11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978-0813344553</w:t>
            </w: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Edition: </w:t>
            </w:r>
            <w:r w:rsidRPr="00C11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Third Edition.</w:t>
            </w:r>
          </w:p>
          <w:p w14:paraId="0B5C906A" w14:textId="77777777" w:rsidR="00336CC4" w:rsidRPr="00C11A20" w:rsidRDefault="00336CC4" w:rsidP="00336C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Being Nonprofit: A Conceptual and Policy Primer, Peter </w:t>
            </w:r>
            <w:proofErr w:type="spellStart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</w:rPr>
              <w:t>Frumkin</w:t>
            </w:r>
            <w:proofErr w:type="spellEnd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</w:rPr>
              <w:t>2002..</w:t>
            </w:r>
            <w:proofErr w:type="gramEnd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Cambridge:</w:t>
            </w:r>
          </w:p>
          <w:p w14:paraId="791CDC77" w14:textId="77777777" w:rsidR="006962EF" w:rsidRPr="00C11A20" w:rsidRDefault="00336CC4" w:rsidP="00336CC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Handbook of Economic Sociology, Second Edition [Paperback], </w:t>
            </w: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u w:color="002C84"/>
              </w:rPr>
              <w:t>Neil J. Smelser</w:t>
            </w: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(Editor), </w:t>
            </w: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u w:color="002C84"/>
              </w:rPr>
              <w:t xml:space="preserve">Richard </w:t>
            </w:r>
            <w:proofErr w:type="spellStart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u w:color="002C84"/>
              </w:rPr>
              <w:t>S</w:t>
            </w:r>
            <w:r w:rsidR="00117B20" w:rsidRPr="00C11A20">
              <w:rPr>
                <w:rFonts w:ascii="Times New Roman" w:eastAsia="Times New Roman" w:hAnsi="Times New Roman" w:cs="Times New Roman"/>
                <w:sz w:val="24"/>
                <w:szCs w:val="24"/>
                <w:u w:color="002C84"/>
              </w:rPr>
              <w:t>w</w:t>
            </w:r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  <w:u w:color="002C84"/>
              </w:rPr>
              <w:t>edberg</w:t>
            </w:r>
            <w:proofErr w:type="spellEnd"/>
            <w:r w:rsidRPr="00C11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(Editor)</w:t>
            </w:r>
          </w:p>
        </w:tc>
      </w:tr>
      <w:tr w:rsidR="006962EF" w:rsidRPr="00C11A20" w14:paraId="23700776" w14:textId="77777777" w:rsidTr="005C209F">
        <w:trPr>
          <w:trHeight w:val="20"/>
        </w:trPr>
        <w:tc>
          <w:tcPr>
            <w:tcW w:w="3055" w:type="dxa"/>
          </w:tcPr>
          <w:p w14:paraId="1165A3B2" w14:textId="77777777" w:rsidR="006962EF" w:rsidRPr="00C11A20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Literatura shtes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0345AFA5" w14:textId="77777777" w:rsidR="006962EF" w:rsidRPr="00C11A20" w:rsidRDefault="00336CC4" w:rsidP="00336C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Gjatë ligj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ratave dokumente/artikuj t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fotokopjuar do të shpërndahen për çështjet aktuale zhvillimore.</w:t>
            </w:r>
          </w:p>
        </w:tc>
      </w:tr>
    </w:tbl>
    <w:p w14:paraId="1BDB0E64" w14:textId="77777777" w:rsidR="00FA3B0B" w:rsidRPr="00C11A20" w:rsidRDefault="00FA3B0B" w:rsidP="00FA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DC3D89C" w14:textId="77777777" w:rsidR="005C209F" w:rsidRPr="00C11A20" w:rsidRDefault="005C209F" w:rsidP="00FA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D59C10D" w14:textId="77777777" w:rsidR="005C209F" w:rsidRPr="00C11A20" w:rsidRDefault="005C209F" w:rsidP="00FA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52019" w:rsidRPr="00C11A20" w14:paraId="6A25AB84" w14:textId="77777777" w:rsidTr="006A34BC">
        <w:tc>
          <w:tcPr>
            <w:tcW w:w="9350" w:type="dxa"/>
            <w:gridSpan w:val="2"/>
            <w:shd w:val="clear" w:color="auto" w:fill="BDD6EE" w:themeFill="accent1" w:themeFillTint="66"/>
          </w:tcPr>
          <w:p w14:paraId="174FC42D" w14:textId="77777777" w:rsidR="00552019" w:rsidRPr="00C11A20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lastRenderedPageBreak/>
              <w:t>Plani i detajuar i pun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s:</w:t>
            </w:r>
          </w:p>
        </w:tc>
      </w:tr>
      <w:tr w:rsidR="00552019" w:rsidRPr="00C11A20" w14:paraId="5E072021" w14:textId="77777777" w:rsidTr="005B3AF3">
        <w:tc>
          <w:tcPr>
            <w:tcW w:w="1705" w:type="dxa"/>
            <w:shd w:val="clear" w:color="auto" w:fill="BDD6EE" w:themeFill="accent1" w:themeFillTint="66"/>
          </w:tcPr>
          <w:p w14:paraId="4231D77F" w14:textId="77777777" w:rsidR="00552019" w:rsidRPr="00C11A20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Java</w:t>
            </w:r>
          </w:p>
        </w:tc>
        <w:tc>
          <w:tcPr>
            <w:tcW w:w="7645" w:type="dxa"/>
            <w:shd w:val="clear" w:color="auto" w:fill="BDD6EE" w:themeFill="accent1" w:themeFillTint="66"/>
          </w:tcPr>
          <w:p w14:paraId="0D24F63C" w14:textId="77777777" w:rsidR="00552019" w:rsidRPr="00C11A20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Temat</w:t>
            </w:r>
          </w:p>
        </w:tc>
      </w:tr>
      <w:tr w:rsidR="00552019" w:rsidRPr="00C11A20" w14:paraId="2A5A3ADF" w14:textId="77777777" w:rsidTr="005B3AF3">
        <w:tc>
          <w:tcPr>
            <w:tcW w:w="1705" w:type="dxa"/>
          </w:tcPr>
          <w:p w14:paraId="52688501" w14:textId="77777777" w:rsidR="00552019" w:rsidRPr="00C11A20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</w:t>
            </w:r>
          </w:p>
        </w:tc>
        <w:tc>
          <w:tcPr>
            <w:tcW w:w="7645" w:type="dxa"/>
          </w:tcPr>
          <w:p w14:paraId="0EC34A3D" w14:textId="77777777" w:rsidR="00336CC4" w:rsidRPr="00C11A20" w:rsidRDefault="00336CC4" w:rsidP="00336CC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Hyrje në Sociologjinë Ekonomike</w:t>
            </w:r>
          </w:p>
          <w:p w14:paraId="7503B596" w14:textId="77777777" w:rsidR="00552019" w:rsidRPr="00C11A20" w:rsidRDefault="00336CC4" w:rsidP="00336CC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Sociologjia e ekonomisë;</w:t>
            </w:r>
          </w:p>
        </w:tc>
      </w:tr>
      <w:tr w:rsidR="00552019" w:rsidRPr="00C11A20" w14:paraId="100203D9" w14:textId="77777777" w:rsidTr="005B3AF3">
        <w:tc>
          <w:tcPr>
            <w:tcW w:w="1705" w:type="dxa"/>
          </w:tcPr>
          <w:p w14:paraId="62914EC2" w14:textId="77777777" w:rsidR="00552019" w:rsidRPr="00C11A20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2</w:t>
            </w:r>
          </w:p>
        </w:tc>
        <w:tc>
          <w:tcPr>
            <w:tcW w:w="7645" w:type="dxa"/>
          </w:tcPr>
          <w:p w14:paraId="7B8748D5" w14:textId="77777777" w:rsidR="00552019" w:rsidRPr="00C11A20" w:rsidRDefault="00336CC4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Konstrukti social, politik dhe kulturor i tregjeve;</w:t>
            </w:r>
          </w:p>
        </w:tc>
      </w:tr>
      <w:tr w:rsidR="00552019" w:rsidRPr="00C11A20" w14:paraId="1EFFA4D3" w14:textId="77777777" w:rsidTr="005B3AF3">
        <w:tc>
          <w:tcPr>
            <w:tcW w:w="1705" w:type="dxa"/>
          </w:tcPr>
          <w:p w14:paraId="385A6809" w14:textId="77777777" w:rsidR="00552019" w:rsidRPr="00C11A20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3</w:t>
            </w:r>
          </w:p>
        </w:tc>
        <w:tc>
          <w:tcPr>
            <w:tcW w:w="7645" w:type="dxa"/>
          </w:tcPr>
          <w:p w14:paraId="7F55F0B1" w14:textId="77777777" w:rsidR="00EE3B0E" w:rsidRPr="00C11A20" w:rsidRDefault="007A390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Roli i 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rrjeteve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institucioneve, dhe shtetit n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zhvillimin ekonomik;</w:t>
            </w:r>
          </w:p>
        </w:tc>
      </w:tr>
      <w:tr w:rsidR="00552019" w:rsidRPr="00C11A20" w14:paraId="14000E29" w14:textId="77777777" w:rsidTr="005B3AF3">
        <w:tc>
          <w:tcPr>
            <w:tcW w:w="1705" w:type="dxa"/>
          </w:tcPr>
          <w:p w14:paraId="5062E321" w14:textId="77777777" w:rsidR="00552019" w:rsidRPr="00C11A20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4</w:t>
            </w:r>
          </w:p>
        </w:tc>
        <w:tc>
          <w:tcPr>
            <w:tcW w:w="7645" w:type="dxa"/>
          </w:tcPr>
          <w:p w14:paraId="7CB056D4" w14:textId="77777777" w:rsidR="00552019" w:rsidRPr="00C11A20" w:rsidRDefault="007A3909" w:rsidP="007A390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Alternativa bashkëpunuese për korporatat fitimprurëse</w:t>
            </w:r>
          </w:p>
        </w:tc>
      </w:tr>
      <w:tr w:rsidR="00552019" w:rsidRPr="00C11A20" w14:paraId="53A53330" w14:textId="77777777" w:rsidTr="005B3AF3">
        <w:tc>
          <w:tcPr>
            <w:tcW w:w="1705" w:type="dxa"/>
          </w:tcPr>
          <w:p w14:paraId="612BFA35" w14:textId="77777777" w:rsidR="00552019" w:rsidRPr="00C11A20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5</w:t>
            </w:r>
          </w:p>
        </w:tc>
        <w:tc>
          <w:tcPr>
            <w:tcW w:w="7645" w:type="dxa"/>
          </w:tcPr>
          <w:p w14:paraId="6F2AAFBF" w14:textId="77777777" w:rsidR="00EE3B0E" w:rsidRPr="00C11A20" w:rsidRDefault="007A390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Dallimet nacionale n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kapitaliz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m;</w:t>
            </w:r>
          </w:p>
        </w:tc>
      </w:tr>
      <w:tr w:rsidR="00552019" w:rsidRPr="00C11A20" w14:paraId="570B1C10" w14:textId="77777777" w:rsidTr="005B3AF3">
        <w:tc>
          <w:tcPr>
            <w:tcW w:w="1705" w:type="dxa"/>
          </w:tcPr>
          <w:p w14:paraId="03A99B92" w14:textId="77777777" w:rsidR="00552019" w:rsidRPr="00C11A20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6</w:t>
            </w:r>
          </w:p>
        </w:tc>
        <w:tc>
          <w:tcPr>
            <w:tcW w:w="7645" w:type="dxa"/>
          </w:tcPr>
          <w:p w14:paraId="1CC1EF6E" w14:textId="77777777" w:rsidR="00552019" w:rsidRPr="00C11A20" w:rsidRDefault="007A390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Tranzicionit ekonomike n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shoq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rit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post socialiste, globalizimi; dhe transferimi nga ekonomit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me prodhime masive n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sisteme bazuar n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sim, inovacione dhe fleksibilitet. </w:t>
            </w:r>
          </w:p>
        </w:tc>
      </w:tr>
      <w:tr w:rsidR="00552019" w:rsidRPr="00C11A20" w14:paraId="4D8EED22" w14:textId="77777777" w:rsidTr="005B3AF3">
        <w:tc>
          <w:tcPr>
            <w:tcW w:w="1705" w:type="dxa"/>
          </w:tcPr>
          <w:p w14:paraId="60406821" w14:textId="77777777" w:rsidR="00552019" w:rsidRPr="00C11A20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7</w:t>
            </w:r>
          </w:p>
        </w:tc>
        <w:tc>
          <w:tcPr>
            <w:tcW w:w="7645" w:type="dxa"/>
          </w:tcPr>
          <w:p w14:paraId="21E79D6C" w14:textId="77777777" w:rsidR="00552019" w:rsidRPr="00C11A20" w:rsidRDefault="007A390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Efektet e globalizimit</w:t>
            </w:r>
          </w:p>
        </w:tc>
      </w:tr>
      <w:tr w:rsidR="00552019" w:rsidRPr="00C11A20" w14:paraId="0FC9FA03" w14:textId="77777777" w:rsidTr="005B3AF3">
        <w:tc>
          <w:tcPr>
            <w:tcW w:w="1705" w:type="dxa"/>
          </w:tcPr>
          <w:p w14:paraId="7F2C1454" w14:textId="77777777" w:rsidR="00552019" w:rsidRPr="00C11A20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8</w:t>
            </w:r>
          </w:p>
        </w:tc>
        <w:tc>
          <w:tcPr>
            <w:tcW w:w="7645" w:type="dxa"/>
          </w:tcPr>
          <w:p w14:paraId="5914D8B2" w14:textId="77777777" w:rsidR="00552019" w:rsidRPr="00C11A20" w:rsidRDefault="007A3909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Testi 1</w:t>
            </w:r>
          </w:p>
        </w:tc>
      </w:tr>
      <w:tr w:rsidR="00552019" w:rsidRPr="00C11A20" w14:paraId="7E642FF3" w14:textId="77777777" w:rsidTr="005B3AF3">
        <w:tc>
          <w:tcPr>
            <w:tcW w:w="1705" w:type="dxa"/>
          </w:tcPr>
          <w:p w14:paraId="5288F44B" w14:textId="77777777" w:rsidR="00552019" w:rsidRPr="00C11A20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9</w:t>
            </w:r>
          </w:p>
        </w:tc>
        <w:tc>
          <w:tcPr>
            <w:tcW w:w="7645" w:type="dxa"/>
          </w:tcPr>
          <w:p w14:paraId="6B10CBB8" w14:textId="77777777" w:rsidR="00552019" w:rsidRPr="00C11A20" w:rsidRDefault="007A390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Transferimi nga ekonomit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me prodhime masive n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sisteme bazuar n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sim, inovacione dhe fleksibilitet.</w:t>
            </w:r>
          </w:p>
        </w:tc>
      </w:tr>
      <w:tr w:rsidR="00552019" w:rsidRPr="00C11A20" w14:paraId="01808973" w14:textId="77777777" w:rsidTr="005B3AF3">
        <w:tc>
          <w:tcPr>
            <w:tcW w:w="1705" w:type="dxa"/>
          </w:tcPr>
          <w:p w14:paraId="649082DF" w14:textId="77777777" w:rsidR="00552019" w:rsidRPr="00C11A20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10</w:t>
            </w:r>
          </w:p>
        </w:tc>
        <w:tc>
          <w:tcPr>
            <w:tcW w:w="7645" w:type="dxa"/>
          </w:tcPr>
          <w:p w14:paraId="16F9A01F" w14:textId="77777777" w:rsidR="00552019" w:rsidRPr="00C11A20" w:rsidRDefault="007A390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Ngritja e Tregjeve</w:t>
            </w:r>
          </w:p>
        </w:tc>
      </w:tr>
      <w:tr w:rsidR="00552019" w:rsidRPr="00C11A20" w14:paraId="7B4427F8" w14:textId="77777777" w:rsidTr="005B3AF3">
        <w:tc>
          <w:tcPr>
            <w:tcW w:w="1705" w:type="dxa"/>
          </w:tcPr>
          <w:p w14:paraId="3B25BF7E" w14:textId="77777777" w:rsidR="00552019" w:rsidRPr="00C11A20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11</w:t>
            </w:r>
          </w:p>
        </w:tc>
        <w:tc>
          <w:tcPr>
            <w:tcW w:w="7645" w:type="dxa"/>
          </w:tcPr>
          <w:p w14:paraId="32301FE3" w14:textId="77777777" w:rsidR="00552019" w:rsidRPr="00C11A20" w:rsidRDefault="007A390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Inovacioni dhe fleksibiliteti;</w:t>
            </w:r>
          </w:p>
        </w:tc>
      </w:tr>
      <w:tr w:rsidR="00552019" w:rsidRPr="00C11A20" w14:paraId="395B940B" w14:textId="77777777" w:rsidTr="005B3AF3">
        <w:tc>
          <w:tcPr>
            <w:tcW w:w="1705" w:type="dxa"/>
          </w:tcPr>
          <w:p w14:paraId="00BE5381" w14:textId="77777777" w:rsidR="00552019" w:rsidRPr="00C11A20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12</w:t>
            </w:r>
          </w:p>
        </w:tc>
        <w:tc>
          <w:tcPr>
            <w:tcW w:w="7645" w:type="dxa"/>
          </w:tcPr>
          <w:p w14:paraId="20961976" w14:textId="77777777" w:rsidR="00552019" w:rsidRPr="00C11A20" w:rsidRDefault="007A390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Institucionet – Strukturimet Sociale dhe ndryshimet n</w:t>
            </w:r>
            <w:r w:rsidR="00117B20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sistemin biznesor.</w:t>
            </w:r>
          </w:p>
        </w:tc>
      </w:tr>
      <w:tr w:rsidR="00552019" w:rsidRPr="00C11A20" w14:paraId="76213C21" w14:textId="77777777" w:rsidTr="005B3AF3">
        <w:tc>
          <w:tcPr>
            <w:tcW w:w="1705" w:type="dxa"/>
          </w:tcPr>
          <w:p w14:paraId="094B369D" w14:textId="77777777" w:rsidR="00552019" w:rsidRPr="00C11A20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13</w:t>
            </w:r>
          </w:p>
        </w:tc>
        <w:tc>
          <w:tcPr>
            <w:tcW w:w="7645" w:type="dxa"/>
          </w:tcPr>
          <w:p w14:paraId="257AE148" w14:textId="77777777" w:rsidR="00552019" w:rsidRPr="00C11A20" w:rsidRDefault="007A390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Kombet – Shtetet dhe Zhvillimi Ekonomik</w:t>
            </w:r>
          </w:p>
        </w:tc>
      </w:tr>
      <w:tr w:rsidR="00552019" w:rsidRPr="00C11A20" w14:paraId="4823F4A3" w14:textId="77777777" w:rsidTr="005B3AF3">
        <w:tc>
          <w:tcPr>
            <w:tcW w:w="1705" w:type="dxa"/>
          </w:tcPr>
          <w:p w14:paraId="740CA7EF" w14:textId="77777777" w:rsidR="00552019" w:rsidRPr="00C11A20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14</w:t>
            </w:r>
          </w:p>
        </w:tc>
        <w:tc>
          <w:tcPr>
            <w:tcW w:w="7645" w:type="dxa"/>
          </w:tcPr>
          <w:p w14:paraId="24937609" w14:textId="77777777" w:rsidR="00552019" w:rsidRPr="00C11A20" w:rsidRDefault="007A3909" w:rsidP="006A34B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Kapitalizmi Krahasues</w:t>
            </w:r>
          </w:p>
        </w:tc>
      </w:tr>
      <w:tr w:rsidR="00552019" w:rsidRPr="00C11A20" w14:paraId="710C6418" w14:textId="77777777" w:rsidTr="005B3AF3">
        <w:tc>
          <w:tcPr>
            <w:tcW w:w="1705" w:type="dxa"/>
          </w:tcPr>
          <w:p w14:paraId="266CE1FD" w14:textId="77777777" w:rsidR="00552019" w:rsidRPr="00C11A20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15</w:t>
            </w:r>
          </w:p>
        </w:tc>
        <w:tc>
          <w:tcPr>
            <w:tcW w:w="7645" w:type="dxa"/>
          </w:tcPr>
          <w:p w14:paraId="3A267968" w14:textId="77777777" w:rsidR="00552019" w:rsidRPr="00C11A20" w:rsidRDefault="007A3909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Testi 2</w:t>
            </w:r>
          </w:p>
        </w:tc>
      </w:tr>
    </w:tbl>
    <w:p w14:paraId="0368DA58" w14:textId="77777777" w:rsidR="00552019" w:rsidRPr="00C11A20" w:rsidRDefault="00552019" w:rsidP="00FA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4645" w:rsidRPr="00C11A20" w14:paraId="06011929" w14:textId="77777777" w:rsidTr="006A34BC">
        <w:tc>
          <w:tcPr>
            <w:tcW w:w="9350" w:type="dxa"/>
            <w:shd w:val="clear" w:color="auto" w:fill="BDD6EE" w:themeFill="accent1" w:themeFillTint="66"/>
            <w:vAlign w:val="center"/>
          </w:tcPr>
          <w:p w14:paraId="688D0B8D" w14:textId="77777777" w:rsidR="009E4645" w:rsidRPr="00C11A20" w:rsidRDefault="009E4645" w:rsidP="006A34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Politikat akademike dhe rregullat e mir</w:t>
            </w:r>
            <w:r w:rsidR="00A4240B"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sjelljes:</w:t>
            </w:r>
          </w:p>
        </w:tc>
      </w:tr>
      <w:tr w:rsidR="009E4645" w:rsidRPr="00C11A20" w14:paraId="6B4C5C0F" w14:textId="77777777" w:rsidTr="00C10F09">
        <w:tc>
          <w:tcPr>
            <w:tcW w:w="9350" w:type="dxa"/>
          </w:tcPr>
          <w:p w14:paraId="732EF3D0" w14:textId="77777777" w:rsidR="009E4645" w:rsidRPr="00C11A20" w:rsidRDefault="009E4645" w:rsidP="006A3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Çdo student q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tenton t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mashtroj n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ÇDO M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NYR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duke p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rfshir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mir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 jo i limituar n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: (1) Përdorimi i leksioneve/shënimeve studimore ose përmbledhjeve në çdo formë gjatë provimeve, (2) Kopjimi i përgjigjeve të provimeve, (3) Dhënia dhe/ose marrja e pyetjeve dhe/ose përgjigjeve të provimit, (5) Largimi i provimit nga Klasa dhe/ose (6) Dhënia ose marrja e ndihmës në një detyrë që tejkalon atë që lejohet nga instruktori juaj 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DO TË MARRË NJË NOTË JOKALUESE TË KËSAJ LËNDE.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40B" w:rsidRPr="00C11A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TË GJITHA DETYRAT DHE PROVIMET PËR KËTË KLASË DUHET TË BËHEN TË PAVARUR, VETËM NËSE JU KËRKOHET NDRYSHE NGA INSTRUKTORI JUAJ.</w:t>
            </w:r>
          </w:p>
        </w:tc>
      </w:tr>
      <w:bookmarkEnd w:id="0"/>
    </w:tbl>
    <w:p w14:paraId="6B74A20F" w14:textId="77777777" w:rsidR="00107B59" w:rsidRPr="00C11A20" w:rsidRDefault="00107B59" w:rsidP="00FA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107B59" w:rsidRPr="00C11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C15EF"/>
    <w:multiLevelType w:val="hybridMultilevel"/>
    <w:tmpl w:val="1850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80B67"/>
    <w:multiLevelType w:val="hybridMultilevel"/>
    <w:tmpl w:val="BB6E0840"/>
    <w:lvl w:ilvl="0" w:tplc="DCFC4778">
      <w:start w:val="1"/>
      <w:numFmt w:val="decimal"/>
      <w:lvlText w:val="%1."/>
      <w:lvlJc w:val="left"/>
      <w:pPr>
        <w:ind w:left="720" w:hanging="360"/>
      </w:pPr>
      <w:rPr>
        <w:rFonts w:ascii="Lucida Grande" w:eastAsia="Calibri" w:hAnsi="Lucida Grande" w:cs="Lucida Grande" w:hint="default"/>
        <w:b w:val="0"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4059D"/>
    <w:multiLevelType w:val="hybridMultilevel"/>
    <w:tmpl w:val="A4DC28AC"/>
    <w:lvl w:ilvl="0" w:tplc="56A0C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34BA9"/>
    <w:multiLevelType w:val="hybridMultilevel"/>
    <w:tmpl w:val="B066A97C"/>
    <w:lvl w:ilvl="0" w:tplc="DAAC9B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64ADC"/>
    <w:multiLevelType w:val="hybridMultilevel"/>
    <w:tmpl w:val="1850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916FD"/>
    <w:multiLevelType w:val="hybridMultilevel"/>
    <w:tmpl w:val="52D8A26A"/>
    <w:lvl w:ilvl="0" w:tplc="DF288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34A03"/>
    <w:multiLevelType w:val="hybridMultilevel"/>
    <w:tmpl w:val="4CC82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504E8"/>
    <w:multiLevelType w:val="hybridMultilevel"/>
    <w:tmpl w:val="E500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B0B"/>
    <w:rsid w:val="00107B59"/>
    <w:rsid w:val="00117B20"/>
    <w:rsid w:val="001455A1"/>
    <w:rsid w:val="001479AA"/>
    <w:rsid w:val="0017363A"/>
    <w:rsid w:val="00336CC4"/>
    <w:rsid w:val="00440946"/>
    <w:rsid w:val="004B2BBA"/>
    <w:rsid w:val="00552019"/>
    <w:rsid w:val="005B3AF3"/>
    <w:rsid w:val="005C209F"/>
    <w:rsid w:val="005E2F6E"/>
    <w:rsid w:val="0061182A"/>
    <w:rsid w:val="006962EF"/>
    <w:rsid w:val="006A34BC"/>
    <w:rsid w:val="007A3909"/>
    <w:rsid w:val="00805A63"/>
    <w:rsid w:val="00850EA4"/>
    <w:rsid w:val="0094109E"/>
    <w:rsid w:val="009E4645"/>
    <w:rsid w:val="00A4240B"/>
    <w:rsid w:val="00AE755D"/>
    <w:rsid w:val="00B13B48"/>
    <w:rsid w:val="00C10F09"/>
    <w:rsid w:val="00C11A20"/>
    <w:rsid w:val="00EE3B0E"/>
    <w:rsid w:val="00F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08BF0"/>
  <w15:docId w15:val="{45C2A310-9CBB-2D49-8A40-FFCF17BE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946"/>
    <w:pPr>
      <w:ind w:left="720"/>
      <w:contextualSpacing/>
    </w:pPr>
  </w:style>
  <w:style w:type="paragraph" w:styleId="Footer">
    <w:name w:val="footer"/>
    <w:basedOn w:val="Normal"/>
    <w:link w:val="FooterChar"/>
    <w:rsid w:val="00336C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36C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lorfulList-Accent1Char">
    <w:name w:val="Colorful List - Accent 1 Char"/>
    <w:link w:val="ColorfulList-Accent1"/>
    <w:uiPriority w:val="34"/>
    <w:rsid w:val="00336CC4"/>
    <w:rPr>
      <w:rFonts w:ascii="Book Antiqua" w:eastAsia="Calibri" w:hAnsi="Book Antiqua"/>
      <w:sz w:val="22"/>
      <w:szCs w:val="22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336CC4"/>
    <w:pPr>
      <w:spacing w:after="0" w:line="240" w:lineRule="auto"/>
    </w:pPr>
    <w:rPr>
      <w:rFonts w:ascii="Book Antiqua" w:eastAsia="Calibri" w:hAnsi="Book Antiqua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147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1479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872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1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 Zhushi</dc:creator>
  <cp:keywords/>
  <dc:description/>
  <cp:lastModifiedBy>Rineta Hoxha</cp:lastModifiedBy>
  <cp:revision>9</cp:revision>
  <dcterms:created xsi:type="dcterms:W3CDTF">2019-02-16T09:31:00Z</dcterms:created>
  <dcterms:modified xsi:type="dcterms:W3CDTF">2020-01-08T08:03:00Z</dcterms:modified>
</cp:coreProperties>
</file>