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36E1" w14:textId="77777777" w:rsidR="00AE755D" w:rsidRPr="00C10F09" w:rsidRDefault="00C10F09" w:rsidP="00FA3B0B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sq-AL"/>
        </w:rPr>
      </w:pPr>
      <w:r w:rsidRPr="00C10F09">
        <w:rPr>
          <w:rFonts w:ascii="Times New Roman" w:hAnsi="Times New Roman" w:cs="Times New Roman"/>
          <w:b/>
          <w:sz w:val="24"/>
          <w:u w:val="single"/>
          <w:lang w:val="sq-AL"/>
        </w:rPr>
        <w:t>SYLLABUSI</w:t>
      </w:r>
      <w:r w:rsidR="00FA3B0B" w:rsidRPr="00C10F09">
        <w:rPr>
          <w:rFonts w:ascii="Times New Roman" w:hAnsi="Times New Roman" w:cs="Times New Roman"/>
          <w:b/>
          <w:sz w:val="24"/>
          <w:u w:val="single"/>
          <w:lang w:val="sq-AL"/>
        </w:rPr>
        <w:t xml:space="preserve"> i</w:t>
      </w:r>
      <w:r w:rsidR="00FD3438">
        <w:rPr>
          <w:rFonts w:ascii="Times New Roman" w:hAnsi="Times New Roman" w:cs="Times New Roman"/>
          <w:b/>
          <w:sz w:val="24"/>
          <w:u w:val="single"/>
          <w:lang w:val="sq-AL"/>
        </w:rPr>
        <w:t xml:space="preserve"> L</w:t>
      </w:r>
      <w:r w:rsidR="00EE754D">
        <w:rPr>
          <w:rFonts w:ascii="Times New Roman" w:hAnsi="Times New Roman" w:cs="Times New Roman"/>
          <w:b/>
          <w:sz w:val="24"/>
          <w:u w:val="single"/>
          <w:lang w:val="sq-AL"/>
        </w:rPr>
        <w:t>ë</w:t>
      </w:r>
      <w:r w:rsidR="00FD3438">
        <w:rPr>
          <w:rFonts w:ascii="Times New Roman" w:hAnsi="Times New Roman" w:cs="Times New Roman"/>
          <w:b/>
          <w:sz w:val="24"/>
          <w:u w:val="single"/>
          <w:lang w:val="sq-AL"/>
        </w:rPr>
        <w:t>nd</w:t>
      </w:r>
      <w:r w:rsidR="00EE754D">
        <w:rPr>
          <w:rFonts w:ascii="Times New Roman" w:hAnsi="Times New Roman" w:cs="Times New Roman"/>
          <w:b/>
          <w:sz w:val="24"/>
          <w:u w:val="single"/>
          <w:lang w:val="sq-AL"/>
        </w:rPr>
        <w:t>ë</w:t>
      </w:r>
      <w:r w:rsidR="00FD3438">
        <w:rPr>
          <w:rFonts w:ascii="Times New Roman" w:hAnsi="Times New Roman" w:cs="Times New Roman"/>
          <w:b/>
          <w:sz w:val="24"/>
          <w:u w:val="single"/>
          <w:lang w:val="sq-AL"/>
        </w:rPr>
        <w:t>s: Parimet e Menaxhimit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098"/>
        <w:gridCol w:w="2098"/>
        <w:gridCol w:w="2099"/>
      </w:tblGrid>
      <w:tr w:rsidR="00FA3B0B" w14:paraId="54352501" w14:textId="77777777" w:rsidTr="006A34BC">
        <w:trPr>
          <w:trHeight w:val="20"/>
        </w:trPr>
        <w:tc>
          <w:tcPr>
            <w:tcW w:w="9350" w:type="dxa"/>
            <w:gridSpan w:val="4"/>
            <w:shd w:val="clear" w:color="auto" w:fill="BDD6EE" w:themeFill="accent1" w:themeFillTint="66"/>
          </w:tcPr>
          <w:p w14:paraId="73671247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T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dh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nat Bazike p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r l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nd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</w:t>
            </w:r>
          </w:p>
        </w:tc>
      </w:tr>
      <w:tr w:rsidR="00FA3B0B" w14:paraId="46D42B24" w14:textId="77777777" w:rsidTr="005C209F">
        <w:trPr>
          <w:trHeight w:val="20"/>
        </w:trPr>
        <w:tc>
          <w:tcPr>
            <w:tcW w:w="3055" w:type="dxa"/>
          </w:tcPr>
          <w:p w14:paraId="15D970E8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Nj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sia Akademike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51CD2A14" w14:textId="77777777" w:rsidR="00FA3B0B" w:rsidRDefault="00FA3B0B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Fakulteti Ekonomik</w:t>
            </w:r>
          </w:p>
        </w:tc>
      </w:tr>
      <w:tr w:rsidR="00FA3B0B" w14:paraId="4A8AE685" w14:textId="77777777" w:rsidTr="005C209F">
        <w:trPr>
          <w:trHeight w:val="20"/>
        </w:trPr>
        <w:tc>
          <w:tcPr>
            <w:tcW w:w="3055" w:type="dxa"/>
          </w:tcPr>
          <w:p w14:paraId="5487D0CE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Titulli i l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nd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796248AC" w14:textId="77777777" w:rsidR="00FA3B0B" w:rsidRPr="00C10F09" w:rsidRDefault="00D47903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Bazat  e Menaxhmentit</w:t>
            </w:r>
          </w:p>
        </w:tc>
      </w:tr>
      <w:tr w:rsidR="00FA3B0B" w14:paraId="457C12B8" w14:textId="77777777" w:rsidTr="005C209F">
        <w:trPr>
          <w:trHeight w:val="20"/>
        </w:trPr>
        <w:tc>
          <w:tcPr>
            <w:tcW w:w="3055" w:type="dxa"/>
          </w:tcPr>
          <w:p w14:paraId="4DBA55DB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Niveli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007C8EB9" w14:textId="77777777" w:rsidR="00FA3B0B" w:rsidRDefault="00FA3B0B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Bachelor</w:t>
            </w:r>
          </w:p>
        </w:tc>
      </w:tr>
      <w:tr w:rsidR="00FA3B0B" w14:paraId="4171D8A0" w14:textId="77777777" w:rsidTr="005C209F">
        <w:trPr>
          <w:trHeight w:val="20"/>
        </w:trPr>
        <w:tc>
          <w:tcPr>
            <w:tcW w:w="3055" w:type="dxa"/>
          </w:tcPr>
          <w:p w14:paraId="43E6E992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Statusi i l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nd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0C9B6B58" w14:textId="77777777" w:rsidR="00FA3B0B" w:rsidRDefault="0061182A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Zgjedhore</w:t>
            </w:r>
          </w:p>
        </w:tc>
      </w:tr>
      <w:tr w:rsidR="00FA3B0B" w14:paraId="6981D3D8" w14:textId="77777777" w:rsidTr="005C209F">
        <w:trPr>
          <w:trHeight w:val="20"/>
        </w:trPr>
        <w:tc>
          <w:tcPr>
            <w:tcW w:w="3055" w:type="dxa"/>
          </w:tcPr>
          <w:p w14:paraId="47903ACE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Viti i 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studimit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032CD206" w14:textId="77777777" w:rsidR="00FA3B0B" w:rsidRDefault="00FA3B0B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Viti i par</w:t>
            </w:r>
            <w:r w:rsidR="00A4240B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 w:rsidR="00FD3438">
              <w:rPr>
                <w:rFonts w:ascii="Times New Roman" w:hAnsi="Times New Roman" w:cs="Times New Roman"/>
                <w:sz w:val="24"/>
                <w:lang w:val="sq-AL"/>
              </w:rPr>
              <w:t xml:space="preserve"> – Semestri i kat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 w:rsidR="00FD3438">
              <w:rPr>
                <w:rFonts w:ascii="Times New Roman" w:hAnsi="Times New Roman" w:cs="Times New Roman"/>
                <w:sz w:val="24"/>
                <w:lang w:val="sq-AL"/>
              </w:rPr>
              <w:t>rt</w:t>
            </w:r>
          </w:p>
        </w:tc>
      </w:tr>
      <w:tr w:rsidR="00FA3B0B" w14:paraId="2E964B65" w14:textId="77777777" w:rsidTr="005C209F">
        <w:trPr>
          <w:trHeight w:val="20"/>
        </w:trPr>
        <w:tc>
          <w:tcPr>
            <w:tcW w:w="3055" w:type="dxa"/>
          </w:tcPr>
          <w:p w14:paraId="34A8F0FF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Numri i or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ve p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r jav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503223DA" w14:textId="77777777" w:rsidR="00FA3B0B" w:rsidRDefault="00FD3438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2+1</w:t>
            </w:r>
          </w:p>
        </w:tc>
      </w:tr>
      <w:tr w:rsidR="00FA3B0B" w14:paraId="298AA958" w14:textId="77777777" w:rsidTr="005C209F">
        <w:trPr>
          <w:trHeight w:val="20"/>
        </w:trPr>
        <w:tc>
          <w:tcPr>
            <w:tcW w:w="3055" w:type="dxa"/>
          </w:tcPr>
          <w:p w14:paraId="56D73C6E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ECTS kredit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1A362087" w14:textId="2BE32748" w:rsidR="00FA3B0B" w:rsidRDefault="000373B3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4</w:t>
            </w:r>
          </w:p>
        </w:tc>
      </w:tr>
      <w:tr w:rsidR="00FA3B0B" w14:paraId="359114CA" w14:textId="77777777" w:rsidTr="005C209F">
        <w:trPr>
          <w:trHeight w:val="20"/>
        </w:trPr>
        <w:tc>
          <w:tcPr>
            <w:tcW w:w="3055" w:type="dxa"/>
          </w:tcPr>
          <w:p w14:paraId="478F67B0" w14:textId="77777777" w:rsidR="00FA3B0B" w:rsidRPr="00C10F09" w:rsidRDefault="00FA3B0B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Koha/Lokacioni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6389B928" w14:textId="77777777" w:rsidR="00FA3B0B" w:rsidRDefault="00FA3B0B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Fakulteti Ekonomik, Universiteti i Prishtin</w:t>
            </w:r>
            <w:r w:rsidR="00A4240B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s “Hasan Prishtina”</w:t>
            </w:r>
          </w:p>
        </w:tc>
      </w:tr>
      <w:tr w:rsidR="00307D7D" w14:paraId="7444BA87" w14:textId="77777777" w:rsidTr="005C209F">
        <w:trPr>
          <w:trHeight w:val="20"/>
        </w:trPr>
        <w:tc>
          <w:tcPr>
            <w:tcW w:w="3055" w:type="dxa"/>
          </w:tcPr>
          <w:p w14:paraId="19D75A62" w14:textId="77777777" w:rsidR="00307D7D" w:rsidRPr="00C10F09" w:rsidRDefault="00307D7D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Mësimdhënësi i lëndës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75B322A3" w14:textId="5A1CD055" w:rsidR="00307D7D" w:rsidRDefault="000373B3" w:rsidP="000373B3">
            <w:pPr>
              <w:spacing w:after="160"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sq-AL"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q-AL"/>
              </w:rPr>
              <w:t>. Dr. Lura Rexhepi</w:t>
            </w:r>
          </w:p>
        </w:tc>
      </w:tr>
      <w:tr w:rsidR="00307D7D" w14:paraId="6F851F93" w14:textId="77777777" w:rsidTr="005C209F">
        <w:trPr>
          <w:trHeight w:val="20"/>
        </w:trPr>
        <w:tc>
          <w:tcPr>
            <w:tcW w:w="3055" w:type="dxa"/>
          </w:tcPr>
          <w:p w14:paraId="0BB4BBDE" w14:textId="77777777" w:rsidR="00307D7D" w:rsidRPr="00C10F09" w:rsidRDefault="00307D7D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Detajet kontaktuese të mësimdhënësit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2F97D9A3" w14:textId="512039D7" w:rsidR="00307D7D" w:rsidRDefault="000373B3" w:rsidP="00FD3438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562CD6">
              <w:rPr>
                <w:rFonts w:ascii="Times New Roman" w:hAnsi="Times New Roman" w:cs="Times New Roman"/>
                <w:sz w:val="24"/>
                <w:lang w:val="sq-AL"/>
              </w:rPr>
              <w:t>Lura.rexhepi@uni-pr.edu</w:t>
            </w:r>
          </w:p>
        </w:tc>
      </w:tr>
      <w:tr w:rsidR="006A34BC" w14:paraId="1E6D5ACE" w14:textId="77777777" w:rsidTr="006A34BC">
        <w:trPr>
          <w:trHeight w:val="20"/>
        </w:trPr>
        <w:tc>
          <w:tcPr>
            <w:tcW w:w="9350" w:type="dxa"/>
            <w:gridSpan w:val="4"/>
            <w:shd w:val="clear" w:color="auto" w:fill="BDD6EE" w:themeFill="accent1" w:themeFillTint="66"/>
          </w:tcPr>
          <w:p w14:paraId="611930AE" w14:textId="77777777" w:rsidR="006A34BC" w:rsidRPr="00FA3B0B" w:rsidRDefault="006A34BC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FA3B0B" w14:paraId="49C7CEC5" w14:textId="77777777" w:rsidTr="005C209F">
        <w:trPr>
          <w:trHeight w:val="20"/>
        </w:trPr>
        <w:tc>
          <w:tcPr>
            <w:tcW w:w="3055" w:type="dxa"/>
          </w:tcPr>
          <w:p w14:paraId="64415146" w14:textId="77777777" w:rsidR="00FA3B0B" w:rsidRPr="00C10F09" w:rsidRDefault="005E2F6E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P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rmbajtja e Lëndës:</w:t>
            </w:r>
          </w:p>
        </w:tc>
        <w:tc>
          <w:tcPr>
            <w:tcW w:w="6295" w:type="dxa"/>
            <w:gridSpan w:val="3"/>
          </w:tcPr>
          <w:p w14:paraId="38D7CC5D" w14:textId="77777777" w:rsidR="00FA3B0B" w:rsidRDefault="00FD3438" w:rsidP="00FD34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>Ekzaminon teorinë, teknikat dhe aplikimet e sistemeve të menaxhimit. Temat: Menaxhimi, Histori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ku i menaxhmentit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>, mjediset dhe kulturat organizative, Etika dhe përgjegjësia sociale, Planifikimi dhe vendimmarrja, Strategjia organizative, Inovacioni dhe ndryshimi, Menaxhimi Global, Hartimi i organizimit ad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optiv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>, Ekipet menaxhuese, Menaxhimi i sistemeve të burimeve njerëzore, Motivimi, Udhëheqja dhe kontrollin.</w:t>
            </w:r>
          </w:p>
        </w:tc>
      </w:tr>
      <w:tr w:rsidR="00850EA4" w14:paraId="476E29E2" w14:textId="77777777" w:rsidTr="005C209F">
        <w:trPr>
          <w:trHeight w:val="20"/>
        </w:trPr>
        <w:tc>
          <w:tcPr>
            <w:tcW w:w="3055" w:type="dxa"/>
          </w:tcPr>
          <w:p w14:paraId="1154443F" w14:textId="77777777" w:rsidR="00850EA4" w:rsidRPr="00C10F09" w:rsidRDefault="00850EA4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Q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llimet e L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nd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s:</w:t>
            </w:r>
          </w:p>
        </w:tc>
        <w:tc>
          <w:tcPr>
            <w:tcW w:w="6295" w:type="dxa"/>
            <w:gridSpan w:val="3"/>
          </w:tcPr>
          <w:p w14:paraId="68CACED8" w14:textId="77777777" w:rsidR="00850EA4" w:rsidRDefault="00FD3438" w:rsidP="00FD34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Kjo l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nd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prezanton studentin me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 xml:space="preserve"> procesin e menaxhimit. Lënda merr një qasje të integruar të menaxhimit duke shqyrtuar rolin e menaxherit nga një perspektivë tradicionale dhe bashkëkohore, duke aplikuar aftësitë vendimmarrëse dhe 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mendimet 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>kritike për sfidat me të cilat ballafaqohen menaxherët n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ë mjedisin e sotëm global. L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nda shqyrton teknikat e kontrollit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planifikimit</w:t>
            </w:r>
            <w:r w:rsidRPr="00FD3438">
              <w:rPr>
                <w:rFonts w:ascii="Times New Roman" w:hAnsi="Times New Roman" w:cs="Times New Roman"/>
                <w:sz w:val="24"/>
                <w:lang w:val="sq-AL"/>
              </w:rPr>
              <w:t>, organizimin e burimeve dhe udhëheqjen e fuqisë punëtore.</w:t>
            </w:r>
          </w:p>
        </w:tc>
      </w:tr>
      <w:tr w:rsidR="00850EA4" w14:paraId="4FB0B87A" w14:textId="77777777" w:rsidTr="005C209F">
        <w:trPr>
          <w:trHeight w:val="20"/>
        </w:trPr>
        <w:tc>
          <w:tcPr>
            <w:tcW w:w="3055" w:type="dxa"/>
          </w:tcPr>
          <w:p w14:paraId="68498EC7" w14:textId="77777777" w:rsidR="00850EA4" w:rsidRPr="00C10F09" w:rsidRDefault="00850EA4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Rezultatet e pritura t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m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simnx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nies:</w:t>
            </w:r>
          </w:p>
        </w:tc>
        <w:tc>
          <w:tcPr>
            <w:tcW w:w="6295" w:type="dxa"/>
            <w:gridSpan w:val="3"/>
          </w:tcPr>
          <w:p w14:paraId="68F753AA" w14:textId="77777777" w:rsidR="005B1A44" w:rsidRP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Pas përfundimit të l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nd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s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, studentët do të:</w:t>
            </w:r>
          </w:p>
          <w:p w14:paraId="735185C2" w14:textId="77777777" w:rsidR="005B1A44" w:rsidRP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• Kanë zhvilluar një njohuri pune të terminologjisë dhe kornizave themelore në katër funksionet e menaxhimit: Planifikimi, Organizimi, Drejtimi dhe Kontrollimi;</w:t>
            </w:r>
          </w:p>
          <w:p w14:paraId="19855DFD" w14:textId="77777777" w:rsidR="005B1A44" w:rsidRP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• J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etë në gjendje të analizojë situatat e rasteve organizative në secilën prej katër funksioneve të menaxhimit;</w:t>
            </w:r>
          </w:p>
          <w:p w14:paraId="2C7365CA" w14:textId="77777777" w:rsidR="005B1A44" w:rsidRP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>• J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etë në gjendje të identifikojë dhe zbatojë teknika të përshtatshme të menaxhimit për menaxhimin e organizatave bashkëkohore; dhe</w:t>
            </w:r>
          </w:p>
          <w:p w14:paraId="6214B6AB" w14:textId="77777777" w:rsidR="00336CC4" w:rsidRPr="00FD3438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• Ken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 xml:space="preserve"> një kuptim të aftësive, aftësive dhe mjeteve të nevojshme për të marrë një punë në një udhë menaxhimi në një organizatë sipas zgjedhjes së tyre.</w:t>
            </w:r>
          </w:p>
        </w:tc>
      </w:tr>
      <w:tr w:rsidR="00440946" w14:paraId="6995FF91" w14:textId="77777777" w:rsidTr="006A34BC">
        <w:trPr>
          <w:trHeight w:val="20"/>
        </w:trPr>
        <w:tc>
          <w:tcPr>
            <w:tcW w:w="9350" w:type="dxa"/>
            <w:gridSpan w:val="4"/>
            <w:shd w:val="clear" w:color="auto" w:fill="BDD6EE" w:themeFill="accent1" w:themeFillTint="66"/>
          </w:tcPr>
          <w:p w14:paraId="49A211E9" w14:textId="77777777" w:rsidR="00440946" w:rsidRPr="00C10F09" w:rsidRDefault="00440946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lastRenderedPageBreak/>
              <w:t xml:space="preserve">Ngarkesa e punës së studentëve </w:t>
            </w:r>
            <w:r w:rsidRPr="00C10F09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(orë në semestër, ECTS)</w:t>
            </w:r>
          </w:p>
        </w:tc>
      </w:tr>
      <w:tr w:rsidR="00440946" w14:paraId="03E4CE38" w14:textId="77777777" w:rsidTr="005C209F">
        <w:trPr>
          <w:trHeight w:val="20"/>
        </w:trPr>
        <w:tc>
          <w:tcPr>
            <w:tcW w:w="3055" w:type="dxa"/>
            <w:shd w:val="clear" w:color="auto" w:fill="BDD6EE" w:themeFill="accent1" w:themeFillTint="66"/>
          </w:tcPr>
          <w:p w14:paraId="3A7A5B68" w14:textId="77777777" w:rsidR="00440946" w:rsidRPr="00C10F09" w:rsidRDefault="00C10F09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Aktiviteti</w:t>
            </w:r>
          </w:p>
        </w:tc>
        <w:tc>
          <w:tcPr>
            <w:tcW w:w="2098" w:type="dxa"/>
            <w:shd w:val="clear" w:color="auto" w:fill="BDD6EE" w:themeFill="accent1" w:themeFillTint="66"/>
          </w:tcPr>
          <w:p w14:paraId="031176AF" w14:textId="77777777" w:rsidR="00440946" w:rsidRPr="00C10F09" w:rsidRDefault="00440946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Jav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</w:p>
        </w:tc>
        <w:tc>
          <w:tcPr>
            <w:tcW w:w="2098" w:type="dxa"/>
            <w:shd w:val="clear" w:color="auto" w:fill="BDD6EE" w:themeFill="accent1" w:themeFillTint="66"/>
          </w:tcPr>
          <w:p w14:paraId="5002B924" w14:textId="77777777" w:rsidR="00440946" w:rsidRPr="00C10F09" w:rsidRDefault="00440946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Or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</w:p>
        </w:tc>
        <w:tc>
          <w:tcPr>
            <w:tcW w:w="2099" w:type="dxa"/>
            <w:shd w:val="clear" w:color="auto" w:fill="BDD6EE" w:themeFill="accent1" w:themeFillTint="66"/>
          </w:tcPr>
          <w:p w14:paraId="1385824F" w14:textId="77777777" w:rsidR="00440946" w:rsidRPr="00C10F09" w:rsidRDefault="006A34BC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Totali</w:t>
            </w:r>
          </w:p>
        </w:tc>
      </w:tr>
      <w:tr w:rsidR="002024A2" w14:paraId="0F9A0E06" w14:textId="77777777" w:rsidTr="005C209F">
        <w:trPr>
          <w:trHeight w:val="20"/>
        </w:trPr>
        <w:tc>
          <w:tcPr>
            <w:tcW w:w="3055" w:type="dxa"/>
          </w:tcPr>
          <w:p w14:paraId="7BC7F2B0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440946">
              <w:rPr>
                <w:rFonts w:ascii="Times New Roman" w:hAnsi="Times New Roman" w:cs="Times New Roman"/>
                <w:sz w:val="24"/>
                <w:lang w:val="sq-AL"/>
              </w:rPr>
              <w:t>Ligjërata</w:t>
            </w:r>
          </w:p>
        </w:tc>
        <w:tc>
          <w:tcPr>
            <w:tcW w:w="2098" w:type="dxa"/>
          </w:tcPr>
          <w:p w14:paraId="40B63A8E" w14:textId="64FB587C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13</w:t>
            </w:r>
          </w:p>
        </w:tc>
        <w:tc>
          <w:tcPr>
            <w:tcW w:w="2098" w:type="dxa"/>
          </w:tcPr>
          <w:p w14:paraId="29F133BA" w14:textId="23C4A70A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</w:t>
            </w:r>
          </w:p>
        </w:tc>
        <w:tc>
          <w:tcPr>
            <w:tcW w:w="2099" w:type="dxa"/>
          </w:tcPr>
          <w:p w14:paraId="255A2DC1" w14:textId="6D3213A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26</w:t>
            </w:r>
          </w:p>
        </w:tc>
      </w:tr>
      <w:tr w:rsidR="002024A2" w14:paraId="1156BC0B" w14:textId="77777777" w:rsidTr="005C209F">
        <w:trPr>
          <w:trHeight w:val="20"/>
        </w:trPr>
        <w:tc>
          <w:tcPr>
            <w:tcW w:w="3055" w:type="dxa"/>
          </w:tcPr>
          <w:p w14:paraId="2418A58B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Seminare (Teori dhe Praktikë)</w:t>
            </w:r>
          </w:p>
        </w:tc>
        <w:tc>
          <w:tcPr>
            <w:tcW w:w="2098" w:type="dxa"/>
          </w:tcPr>
          <w:p w14:paraId="60938329" w14:textId="7E1AB71A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161BA88B" w14:textId="3855A6E0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15</w:t>
            </w:r>
          </w:p>
        </w:tc>
        <w:tc>
          <w:tcPr>
            <w:tcW w:w="2099" w:type="dxa"/>
          </w:tcPr>
          <w:p w14:paraId="3E1D9E82" w14:textId="2FA9E444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15</w:t>
            </w:r>
          </w:p>
        </w:tc>
      </w:tr>
      <w:tr w:rsidR="002024A2" w14:paraId="3FC9E566" w14:textId="77777777" w:rsidTr="005C209F">
        <w:trPr>
          <w:trHeight w:val="20"/>
        </w:trPr>
        <w:tc>
          <w:tcPr>
            <w:tcW w:w="3055" w:type="dxa"/>
          </w:tcPr>
          <w:p w14:paraId="4778AB2B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Raste Studimore</w:t>
            </w:r>
          </w:p>
        </w:tc>
        <w:tc>
          <w:tcPr>
            <w:tcW w:w="2098" w:type="dxa"/>
          </w:tcPr>
          <w:p w14:paraId="7B4B5ACC" w14:textId="23A6D1BB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8" w:type="dxa"/>
          </w:tcPr>
          <w:p w14:paraId="14E73D92" w14:textId="51C8C248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9" w:type="dxa"/>
          </w:tcPr>
          <w:p w14:paraId="0631CE74" w14:textId="1DD22BB6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2024A2" w14:paraId="7E8F6D0A" w14:textId="77777777" w:rsidTr="005C209F">
        <w:trPr>
          <w:trHeight w:val="20"/>
        </w:trPr>
        <w:tc>
          <w:tcPr>
            <w:tcW w:w="3055" w:type="dxa"/>
          </w:tcPr>
          <w:p w14:paraId="3F7248CE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Kontaktet me </w:t>
            </w:r>
            <w:r w:rsidRPr="00440946">
              <w:rPr>
                <w:rFonts w:ascii="Times New Roman" w:hAnsi="Times New Roman" w:cs="Times New Roman"/>
                <w:sz w:val="24"/>
                <w:lang w:val="sq-AL"/>
              </w:rPr>
              <w:t>mësimdhënësin/konsultimet</w:t>
            </w:r>
          </w:p>
        </w:tc>
        <w:tc>
          <w:tcPr>
            <w:tcW w:w="2098" w:type="dxa"/>
          </w:tcPr>
          <w:p w14:paraId="1E5FDD01" w14:textId="108A0F15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5EAE44DB" w14:textId="674A5968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</w:t>
            </w:r>
          </w:p>
        </w:tc>
        <w:tc>
          <w:tcPr>
            <w:tcW w:w="2099" w:type="dxa"/>
          </w:tcPr>
          <w:p w14:paraId="5E946910" w14:textId="1307826B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</w:t>
            </w:r>
          </w:p>
        </w:tc>
      </w:tr>
      <w:tr w:rsidR="002024A2" w14:paraId="59DEAD89" w14:textId="77777777" w:rsidTr="005C209F">
        <w:trPr>
          <w:trHeight w:val="20"/>
        </w:trPr>
        <w:tc>
          <w:tcPr>
            <w:tcW w:w="3055" w:type="dxa"/>
          </w:tcPr>
          <w:p w14:paraId="5F571DDB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Ushtrime në Teren</w:t>
            </w:r>
          </w:p>
        </w:tc>
        <w:tc>
          <w:tcPr>
            <w:tcW w:w="2098" w:type="dxa"/>
          </w:tcPr>
          <w:p w14:paraId="2C2132E7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8" w:type="dxa"/>
          </w:tcPr>
          <w:p w14:paraId="10AA8151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9" w:type="dxa"/>
          </w:tcPr>
          <w:p w14:paraId="782FB925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2024A2" w14:paraId="5D59B47C" w14:textId="77777777" w:rsidTr="005C209F">
        <w:trPr>
          <w:trHeight w:val="20"/>
        </w:trPr>
        <w:tc>
          <w:tcPr>
            <w:tcW w:w="3055" w:type="dxa"/>
          </w:tcPr>
          <w:p w14:paraId="4EB44C97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Kollekfiume (Teste)</w:t>
            </w:r>
          </w:p>
        </w:tc>
        <w:tc>
          <w:tcPr>
            <w:tcW w:w="2098" w:type="dxa"/>
          </w:tcPr>
          <w:p w14:paraId="75EB254D" w14:textId="318E0ECD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</w:tcPr>
          <w:p w14:paraId="5903031E" w14:textId="2867458D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2</w:t>
            </w:r>
          </w:p>
        </w:tc>
        <w:tc>
          <w:tcPr>
            <w:tcW w:w="2099" w:type="dxa"/>
          </w:tcPr>
          <w:p w14:paraId="639B7162" w14:textId="72F79BC2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4</w:t>
            </w:r>
          </w:p>
        </w:tc>
      </w:tr>
      <w:tr w:rsidR="002024A2" w14:paraId="6DC6E4F8" w14:textId="77777777" w:rsidTr="005C209F">
        <w:trPr>
          <w:trHeight w:val="20"/>
        </w:trPr>
        <w:tc>
          <w:tcPr>
            <w:tcW w:w="3055" w:type="dxa"/>
          </w:tcPr>
          <w:p w14:paraId="556DEADD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Detyra të Shtëpisë</w:t>
            </w:r>
          </w:p>
        </w:tc>
        <w:tc>
          <w:tcPr>
            <w:tcW w:w="2098" w:type="dxa"/>
          </w:tcPr>
          <w:p w14:paraId="74D7F6C0" w14:textId="201F5C70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8" w:type="dxa"/>
          </w:tcPr>
          <w:p w14:paraId="1C22151E" w14:textId="6E29EB02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9" w:type="dxa"/>
          </w:tcPr>
          <w:p w14:paraId="6290F2FE" w14:textId="5929A004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2024A2" w14:paraId="3389364D" w14:textId="77777777" w:rsidTr="005C209F">
        <w:trPr>
          <w:trHeight w:val="20"/>
        </w:trPr>
        <w:tc>
          <w:tcPr>
            <w:tcW w:w="3055" w:type="dxa"/>
          </w:tcPr>
          <w:p w14:paraId="024AF11D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Studimit vetanake të studentit </w:t>
            </w:r>
            <w:r w:rsidRPr="00440946">
              <w:rPr>
                <w:rFonts w:ascii="Times New Roman" w:hAnsi="Times New Roman" w:cs="Times New Roman"/>
                <w:sz w:val="24"/>
                <w:lang w:val="sq-AL"/>
              </w:rPr>
              <w:t>(në bibliotekë ose në shtëpi)</w:t>
            </w:r>
          </w:p>
        </w:tc>
        <w:tc>
          <w:tcPr>
            <w:tcW w:w="2098" w:type="dxa"/>
          </w:tcPr>
          <w:p w14:paraId="1010921F" w14:textId="0A517C21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66C265A9" w14:textId="5660AA55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99" w:type="dxa"/>
          </w:tcPr>
          <w:p w14:paraId="4AC2F04A" w14:textId="4558D9EE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24A2" w14:paraId="71206154" w14:textId="77777777" w:rsidTr="005C209F">
        <w:trPr>
          <w:trHeight w:val="20"/>
        </w:trPr>
        <w:tc>
          <w:tcPr>
            <w:tcW w:w="3055" w:type="dxa"/>
          </w:tcPr>
          <w:p w14:paraId="31F505A2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Përgatitja për provimin final</w:t>
            </w:r>
          </w:p>
        </w:tc>
        <w:tc>
          <w:tcPr>
            <w:tcW w:w="2098" w:type="dxa"/>
          </w:tcPr>
          <w:p w14:paraId="1FE5F3A4" w14:textId="205BFB40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53C0A19C" w14:textId="5B59717A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15</w:t>
            </w:r>
          </w:p>
        </w:tc>
        <w:tc>
          <w:tcPr>
            <w:tcW w:w="2099" w:type="dxa"/>
          </w:tcPr>
          <w:p w14:paraId="2004BF02" w14:textId="2600BEF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24A2" w14:paraId="774C3BFB" w14:textId="77777777" w:rsidTr="005C209F">
        <w:trPr>
          <w:trHeight w:val="20"/>
        </w:trPr>
        <w:tc>
          <w:tcPr>
            <w:tcW w:w="3055" w:type="dxa"/>
          </w:tcPr>
          <w:p w14:paraId="0242B6CD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Vlerësimi</w:t>
            </w:r>
          </w:p>
        </w:tc>
        <w:tc>
          <w:tcPr>
            <w:tcW w:w="2098" w:type="dxa"/>
          </w:tcPr>
          <w:p w14:paraId="546B7D82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8" w:type="dxa"/>
          </w:tcPr>
          <w:p w14:paraId="3ABAD66C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9" w:type="dxa"/>
          </w:tcPr>
          <w:p w14:paraId="2CC0B0D2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2024A2" w14:paraId="7237BAF7" w14:textId="77777777" w:rsidTr="005C209F">
        <w:trPr>
          <w:trHeight w:val="20"/>
        </w:trPr>
        <w:tc>
          <w:tcPr>
            <w:tcW w:w="3055" w:type="dxa"/>
          </w:tcPr>
          <w:p w14:paraId="42A60844" w14:textId="77777777" w:rsidR="002024A2" w:rsidRDefault="002024A2" w:rsidP="002024A2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Projektet, prezantimet etj. </w:t>
            </w:r>
          </w:p>
        </w:tc>
        <w:tc>
          <w:tcPr>
            <w:tcW w:w="2098" w:type="dxa"/>
          </w:tcPr>
          <w:p w14:paraId="7697EABF" w14:textId="0331E008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</w:t>
            </w:r>
          </w:p>
        </w:tc>
        <w:tc>
          <w:tcPr>
            <w:tcW w:w="2098" w:type="dxa"/>
          </w:tcPr>
          <w:p w14:paraId="3D159D9E" w14:textId="7470284A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r w:rsidRPr="002C602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</w:tcPr>
          <w:p w14:paraId="014C9689" w14:textId="16988EEA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  <w:bookmarkStart w:id="0" w:name="_GoBack"/>
            <w:bookmarkEnd w:id="0"/>
            <w:r w:rsidRPr="002C602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2024A2" w14:paraId="6F33561B" w14:textId="77777777" w:rsidTr="005C209F">
        <w:trPr>
          <w:trHeight w:val="20"/>
        </w:trPr>
        <w:tc>
          <w:tcPr>
            <w:tcW w:w="3055" w:type="dxa"/>
            <w:shd w:val="clear" w:color="auto" w:fill="BDD6EE" w:themeFill="accent1" w:themeFillTint="66"/>
          </w:tcPr>
          <w:p w14:paraId="5F0C9495" w14:textId="77777777" w:rsidR="002024A2" w:rsidRPr="00C10F09" w:rsidRDefault="002024A2" w:rsidP="0020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Totali</w:t>
            </w:r>
          </w:p>
        </w:tc>
        <w:tc>
          <w:tcPr>
            <w:tcW w:w="2098" w:type="dxa"/>
            <w:shd w:val="clear" w:color="auto" w:fill="BDD6EE" w:themeFill="accent1" w:themeFillTint="66"/>
          </w:tcPr>
          <w:p w14:paraId="00AD1171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8" w:type="dxa"/>
            <w:shd w:val="clear" w:color="auto" w:fill="BDD6EE" w:themeFill="accent1" w:themeFillTint="66"/>
          </w:tcPr>
          <w:p w14:paraId="0A82D274" w14:textId="77777777" w:rsidR="002024A2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14:paraId="57D05AAC" w14:textId="638834B5" w:rsidR="002024A2" w:rsidRPr="006A34BC" w:rsidRDefault="002024A2" w:rsidP="0020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Calibri" w:hAnsi="Calibri" w:cs="Calibri"/>
                <w:b/>
              </w:rPr>
              <w:t>102</w:t>
            </w:r>
          </w:p>
        </w:tc>
      </w:tr>
      <w:tr w:rsidR="006962EF" w14:paraId="53328757" w14:textId="77777777" w:rsidTr="005C209F">
        <w:trPr>
          <w:trHeight w:val="20"/>
        </w:trPr>
        <w:tc>
          <w:tcPr>
            <w:tcW w:w="3055" w:type="dxa"/>
          </w:tcPr>
          <w:p w14:paraId="1F7B3542" w14:textId="77777777" w:rsidR="006962EF" w:rsidRPr="00C10F09" w:rsidRDefault="006962EF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Metodologjia e M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simdh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nies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54B6EABC" w14:textId="77777777" w:rsidR="006962EF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Me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todat e mësimdhënies dhe 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mësimnxënies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: Aktivitetet e të mësu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arit të pavarur dhe bashkëpunimet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 xml:space="preserve"> do të caktohen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brenda dhe jashtë klasës për t’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i ndihmuar studentët të ar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rijnë rezultatet e synuara të 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mësimnxënies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. Këto aktivitete do të përfshijnë diskutime në klasë, detyra leximi,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raste studimore dhe persona zyrtar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 xml:space="preserve"> të ftuar.</w:t>
            </w:r>
          </w:p>
          <w:p w14:paraId="08580C43" w14:textId="77777777" w:rsidR="005B1A44" w:rsidRP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Raporti midis pjesës teorike dhe praktike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të mësimdhënies: L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nda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 xml:space="preserve"> përbëhet nga detyra dhe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raste studimore p</w:t>
            </w:r>
            <w:r w:rsidR="00EE754D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r situata</w:t>
            </w: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 xml:space="preserve"> aktuale që kanë të bëjnë me konceptet e mbuluara në klasë dhe angazhohen në diskutime klasike dhe kuptimplota me kolegët.</w:t>
            </w:r>
          </w:p>
          <w:p w14:paraId="34DB1146" w14:textId="77777777" w:rsidR="005B1A44" w:rsidRDefault="005B1A44" w:rsidP="005B1A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5B1A44">
              <w:rPr>
                <w:rFonts w:ascii="Times New Roman" w:hAnsi="Times New Roman" w:cs="Times New Roman"/>
                <w:sz w:val="24"/>
                <w:lang w:val="sq-AL"/>
              </w:rPr>
              <w:t>Objektet e nevojshme: Projektori Kompjuteri.</w:t>
            </w:r>
          </w:p>
        </w:tc>
      </w:tr>
      <w:tr w:rsidR="00440946" w14:paraId="78E903E9" w14:textId="77777777" w:rsidTr="005C209F">
        <w:trPr>
          <w:trHeight w:val="20"/>
        </w:trPr>
        <w:tc>
          <w:tcPr>
            <w:tcW w:w="3055" w:type="dxa"/>
          </w:tcPr>
          <w:p w14:paraId="547EF76F" w14:textId="77777777" w:rsidR="00440946" w:rsidRPr="00C10F09" w:rsidRDefault="006962EF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Metodat e Vler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simit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25E74D92" w14:textId="77777777" w:rsidR="00EE754D" w:rsidRPr="00EE754D" w:rsidRDefault="00EE754D" w:rsidP="00EE7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Metodat e vlerësimit dhe kriteret e kalimit:</w:t>
            </w:r>
          </w:p>
          <w:p w14:paraId="35979143" w14:textId="77777777" w:rsidR="00EE754D" w:rsidRPr="00EE754D" w:rsidRDefault="00EE754D" w:rsidP="00EE7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- Pjesëmarrja aktive në sesionet e klasës 10 pikë</w:t>
            </w:r>
          </w:p>
          <w:p w14:paraId="12AC8C29" w14:textId="77777777" w:rsidR="00EE754D" w:rsidRPr="00EE754D" w:rsidRDefault="00EE754D" w:rsidP="00EE7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- Zhvi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llimi dhe prezantimi i punimit</w:t>
            </w: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 xml:space="preserve"> 10 pikë</w:t>
            </w:r>
          </w:p>
          <w:p w14:paraId="0089CC0D" w14:textId="77777777" w:rsidR="00EE754D" w:rsidRPr="00EE754D" w:rsidRDefault="00EE754D" w:rsidP="00EE7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- Testi</w:t>
            </w: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mi i parë 40 pikë</w:t>
            </w:r>
          </w:p>
          <w:p w14:paraId="4165C951" w14:textId="77777777" w:rsidR="00440946" w:rsidRDefault="00EE754D" w:rsidP="00EE7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- Testi</w:t>
            </w: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mi i dytë 40 pikë</w:t>
            </w:r>
          </w:p>
        </w:tc>
      </w:tr>
      <w:tr w:rsidR="006962EF" w14:paraId="4BF46E26" w14:textId="77777777" w:rsidTr="006A34BC">
        <w:trPr>
          <w:trHeight w:val="20"/>
        </w:trPr>
        <w:tc>
          <w:tcPr>
            <w:tcW w:w="9350" w:type="dxa"/>
            <w:gridSpan w:val="4"/>
            <w:shd w:val="clear" w:color="auto" w:fill="BDD6EE" w:themeFill="accent1" w:themeFillTint="66"/>
          </w:tcPr>
          <w:p w14:paraId="1E4804FF" w14:textId="77777777" w:rsidR="006962EF" w:rsidRPr="00C10F09" w:rsidRDefault="006962EF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lastRenderedPageBreak/>
              <w:t>Literatura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</w:tr>
      <w:tr w:rsidR="006962EF" w14:paraId="0949B837" w14:textId="77777777" w:rsidTr="005C209F">
        <w:trPr>
          <w:trHeight w:val="20"/>
        </w:trPr>
        <w:tc>
          <w:tcPr>
            <w:tcW w:w="3055" w:type="dxa"/>
          </w:tcPr>
          <w:p w14:paraId="7B327487" w14:textId="77777777" w:rsidR="006962EF" w:rsidRPr="00C10F09" w:rsidRDefault="006962EF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Literatura baz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59AD5F3E" w14:textId="77777777" w:rsidR="00EE754D" w:rsidRPr="00EE754D" w:rsidRDefault="00EE754D" w:rsidP="00EE754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 xml:space="preserve">Principles of Management, Chuck 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W</w:t>
            </w: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illiams, 8th edition 2015</w:t>
            </w:r>
          </w:p>
          <w:p w14:paraId="6B2BC5A2" w14:textId="77777777" w:rsidR="006962EF" w:rsidRPr="00EE754D" w:rsidRDefault="00EE754D" w:rsidP="00EE754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Principles of Management v3.0, Tayla Bauer, Berrin Erdogan, 2016</w:t>
            </w:r>
          </w:p>
        </w:tc>
      </w:tr>
      <w:tr w:rsidR="006962EF" w14:paraId="53CF11A1" w14:textId="77777777" w:rsidTr="005C209F">
        <w:trPr>
          <w:trHeight w:val="20"/>
        </w:trPr>
        <w:tc>
          <w:tcPr>
            <w:tcW w:w="3055" w:type="dxa"/>
          </w:tcPr>
          <w:p w14:paraId="6C2CB9DE" w14:textId="77777777" w:rsidR="006962EF" w:rsidRPr="00C10F09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Literatura shtes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="006A34BC">
              <w:rPr>
                <w:rFonts w:ascii="Times New Roman" w:hAnsi="Times New Roman" w:cs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295" w:type="dxa"/>
            <w:gridSpan w:val="3"/>
          </w:tcPr>
          <w:p w14:paraId="0AE37A14" w14:textId="77777777" w:rsidR="006962EF" w:rsidRPr="00336CC4" w:rsidRDefault="00EE754D" w:rsidP="00336CC4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Rastet Studimore që lidhjen me temë.</w:t>
            </w:r>
          </w:p>
        </w:tc>
      </w:tr>
    </w:tbl>
    <w:p w14:paraId="49E42873" w14:textId="77777777" w:rsidR="00FA3B0B" w:rsidRDefault="00FA3B0B" w:rsidP="00FA3B0B">
      <w:pPr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14:paraId="50F0B13F" w14:textId="77777777" w:rsidR="005C209F" w:rsidRDefault="005C209F" w:rsidP="00FA3B0B">
      <w:pPr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14:paraId="3CCCA630" w14:textId="77777777" w:rsidR="005C209F" w:rsidRDefault="005C209F" w:rsidP="00FA3B0B">
      <w:pPr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52019" w14:paraId="1757D4D0" w14:textId="77777777" w:rsidTr="006A34BC">
        <w:tc>
          <w:tcPr>
            <w:tcW w:w="9350" w:type="dxa"/>
            <w:gridSpan w:val="2"/>
            <w:shd w:val="clear" w:color="auto" w:fill="BDD6EE" w:themeFill="accent1" w:themeFillTint="66"/>
          </w:tcPr>
          <w:p w14:paraId="12105349" w14:textId="77777777" w:rsidR="00552019" w:rsidRPr="00C10F09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Plani i detajuar i pun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s:</w:t>
            </w:r>
          </w:p>
        </w:tc>
      </w:tr>
      <w:tr w:rsidR="00552019" w14:paraId="55B57524" w14:textId="77777777" w:rsidTr="005B3AF3">
        <w:tc>
          <w:tcPr>
            <w:tcW w:w="1705" w:type="dxa"/>
            <w:shd w:val="clear" w:color="auto" w:fill="BDD6EE" w:themeFill="accent1" w:themeFillTint="66"/>
          </w:tcPr>
          <w:p w14:paraId="1F8BF95F" w14:textId="77777777" w:rsidR="00552019" w:rsidRPr="00C10F09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Java</w:t>
            </w:r>
          </w:p>
        </w:tc>
        <w:tc>
          <w:tcPr>
            <w:tcW w:w="7645" w:type="dxa"/>
            <w:shd w:val="clear" w:color="auto" w:fill="BDD6EE" w:themeFill="accent1" w:themeFillTint="66"/>
          </w:tcPr>
          <w:p w14:paraId="57EA61C4" w14:textId="77777777" w:rsidR="00552019" w:rsidRPr="00C10F09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Temat</w:t>
            </w:r>
          </w:p>
        </w:tc>
      </w:tr>
      <w:tr w:rsidR="00552019" w14:paraId="6E6E5F61" w14:textId="77777777" w:rsidTr="005B3AF3">
        <w:tc>
          <w:tcPr>
            <w:tcW w:w="1705" w:type="dxa"/>
          </w:tcPr>
          <w:p w14:paraId="2D5BD739" w14:textId="77777777" w:rsidR="00552019" w:rsidRPr="006A34BC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</w:t>
            </w:r>
          </w:p>
        </w:tc>
        <w:tc>
          <w:tcPr>
            <w:tcW w:w="7645" w:type="dxa"/>
          </w:tcPr>
          <w:p w14:paraId="375C63D3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Menaxhmenti</w:t>
            </w:r>
          </w:p>
        </w:tc>
      </w:tr>
      <w:tr w:rsidR="00552019" w14:paraId="4D355D56" w14:textId="77777777" w:rsidTr="005B3AF3">
        <w:tc>
          <w:tcPr>
            <w:tcW w:w="1705" w:type="dxa"/>
          </w:tcPr>
          <w:p w14:paraId="1B4E0241" w14:textId="77777777" w:rsidR="00552019" w:rsidRPr="006A34BC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2</w:t>
            </w:r>
          </w:p>
        </w:tc>
        <w:tc>
          <w:tcPr>
            <w:tcW w:w="7645" w:type="dxa"/>
          </w:tcPr>
          <w:p w14:paraId="1AB92E63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Historiku i Menaxhmentit</w:t>
            </w:r>
          </w:p>
        </w:tc>
      </w:tr>
      <w:tr w:rsidR="00552019" w14:paraId="2BDBC1B6" w14:textId="77777777" w:rsidTr="005B3AF3">
        <w:tc>
          <w:tcPr>
            <w:tcW w:w="1705" w:type="dxa"/>
          </w:tcPr>
          <w:p w14:paraId="134A9020" w14:textId="77777777" w:rsidR="00552019" w:rsidRPr="006A34BC" w:rsidRDefault="0055201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3</w:t>
            </w:r>
          </w:p>
        </w:tc>
        <w:tc>
          <w:tcPr>
            <w:tcW w:w="7645" w:type="dxa"/>
          </w:tcPr>
          <w:p w14:paraId="2E87D3F9" w14:textId="77777777" w:rsidR="00EE3B0E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Mjediset dhe Kulturat Organizative</w:t>
            </w:r>
          </w:p>
        </w:tc>
      </w:tr>
      <w:tr w:rsidR="00552019" w14:paraId="509E87E9" w14:textId="77777777" w:rsidTr="005B3AF3">
        <w:tc>
          <w:tcPr>
            <w:tcW w:w="1705" w:type="dxa"/>
          </w:tcPr>
          <w:p w14:paraId="28A33D2F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4</w:t>
            </w:r>
          </w:p>
        </w:tc>
        <w:tc>
          <w:tcPr>
            <w:tcW w:w="7645" w:type="dxa"/>
          </w:tcPr>
          <w:p w14:paraId="196EF44A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Etika dhe përgjegjësia sociale</w:t>
            </w:r>
          </w:p>
        </w:tc>
      </w:tr>
      <w:tr w:rsidR="00552019" w14:paraId="59F818B0" w14:textId="77777777" w:rsidTr="005B3AF3">
        <w:tc>
          <w:tcPr>
            <w:tcW w:w="1705" w:type="dxa"/>
          </w:tcPr>
          <w:p w14:paraId="6CD0C4FE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5</w:t>
            </w:r>
          </w:p>
        </w:tc>
        <w:tc>
          <w:tcPr>
            <w:tcW w:w="7645" w:type="dxa"/>
          </w:tcPr>
          <w:p w14:paraId="20222BD4" w14:textId="77777777" w:rsidR="00EE3B0E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Planifikimi dhe vendimmarrja</w:t>
            </w:r>
          </w:p>
        </w:tc>
      </w:tr>
      <w:tr w:rsidR="00552019" w14:paraId="63FF244E" w14:textId="77777777" w:rsidTr="005B3AF3">
        <w:tc>
          <w:tcPr>
            <w:tcW w:w="1705" w:type="dxa"/>
          </w:tcPr>
          <w:p w14:paraId="1DD80C61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6</w:t>
            </w:r>
          </w:p>
        </w:tc>
        <w:tc>
          <w:tcPr>
            <w:tcW w:w="7645" w:type="dxa"/>
          </w:tcPr>
          <w:p w14:paraId="045FA30F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Strategjia organizative</w:t>
            </w:r>
          </w:p>
        </w:tc>
      </w:tr>
      <w:tr w:rsidR="00552019" w14:paraId="55E5B605" w14:textId="77777777" w:rsidTr="005B3AF3">
        <w:tc>
          <w:tcPr>
            <w:tcW w:w="1705" w:type="dxa"/>
          </w:tcPr>
          <w:p w14:paraId="4E20A478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7</w:t>
            </w:r>
          </w:p>
        </w:tc>
        <w:tc>
          <w:tcPr>
            <w:tcW w:w="7645" w:type="dxa"/>
          </w:tcPr>
          <w:p w14:paraId="55526B28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Testi 1</w:t>
            </w:r>
          </w:p>
        </w:tc>
      </w:tr>
      <w:tr w:rsidR="00552019" w14:paraId="56DB64CE" w14:textId="77777777" w:rsidTr="005B3AF3">
        <w:tc>
          <w:tcPr>
            <w:tcW w:w="1705" w:type="dxa"/>
          </w:tcPr>
          <w:p w14:paraId="6884CB82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8</w:t>
            </w:r>
          </w:p>
        </w:tc>
        <w:tc>
          <w:tcPr>
            <w:tcW w:w="7645" w:type="dxa"/>
          </w:tcPr>
          <w:p w14:paraId="4980376E" w14:textId="77777777" w:rsidR="00552019" w:rsidRPr="006A34BC" w:rsidRDefault="00EE754D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Inovacioni dhe ndryshimi</w:t>
            </w:r>
          </w:p>
        </w:tc>
      </w:tr>
      <w:tr w:rsidR="00552019" w14:paraId="05249DBF" w14:textId="77777777" w:rsidTr="005B3AF3">
        <w:tc>
          <w:tcPr>
            <w:tcW w:w="1705" w:type="dxa"/>
          </w:tcPr>
          <w:p w14:paraId="39B7179D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9</w:t>
            </w:r>
          </w:p>
        </w:tc>
        <w:tc>
          <w:tcPr>
            <w:tcW w:w="7645" w:type="dxa"/>
          </w:tcPr>
          <w:p w14:paraId="4011C7A3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Menaxhimi Global</w:t>
            </w:r>
          </w:p>
        </w:tc>
      </w:tr>
      <w:tr w:rsidR="00552019" w14:paraId="0E09E582" w14:textId="77777777" w:rsidTr="005B3AF3">
        <w:tc>
          <w:tcPr>
            <w:tcW w:w="1705" w:type="dxa"/>
          </w:tcPr>
          <w:p w14:paraId="68C46095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10</w:t>
            </w:r>
          </w:p>
        </w:tc>
        <w:tc>
          <w:tcPr>
            <w:tcW w:w="7645" w:type="dxa"/>
          </w:tcPr>
          <w:p w14:paraId="50BA16CF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Projektimi i organizatave ado</w:t>
            </w: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ptive</w:t>
            </w:r>
          </w:p>
        </w:tc>
      </w:tr>
      <w:tr w:rsidR="00552019" w14:paraId="6CFBC3B5" w14:textId="77777777" w:rsidTr="005B3AF3">
        <w:tc>
          <w:tcPr>
            <w:tcW w:w="1705" w:type="dxa"/>
          </w:tcPr>
          <w:p w14:paraId="2CB66BB1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11</w:t>
            </w:r>
          </w:p>
        </w:tc>
        <w:tc>
          <w:tcPr>
            <w:tcW w:w="7645" w:type="dxa"/>
          </w:tcPr>
          <w:p w14:paraId="6D4E395E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Menaxhimi i ekipeve</w:t>
            </w:r>
          </w:p>
        </w:tc>
      </w:tr>
      <w:tr w:rsidR="00552019" w14:paraId="1F05D970" w14:textId="77777777" w:rsidTr="005B3AF3">
        <w:tc>
          <w:tcPr>
            <w:tcW w:w="1705" w:type="dxa"/>
          </w:tcPr>
          <w:p w14:paraId="118FDAA3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12</w:t>
            </w:r>
          </w:p>
        </w:tc>
        <w:tc>
          <w:tcPr>
            <w:tcW w:w="7645" w:type="dxa"/>
          </w:tcPr>
          <w:p w14:paraId="56C357A3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Menaxhimi i sistemeve të burimeve njerëzore</w:t>
            </w:r>
          </w:p>
        </w:tc>
      </w:tr>
      <w:tr w:rsidR="00552019" w14:paraId="08278E8F" w14:textId="77777777" w:rsidTr="005B3AF3">
        <w:tc>
          <w:tcPr>
            <w:tcW w:w="1705" w:type="dxa"/>
          </w:tcPr>
          <w:p w14:paraId="3E7373A1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13</w:t>
            </w:r>
          </w:p>
        </w:tc>
        <w:tc>
          <w:tcPr>
            <w:tcW w:w="7645" w:type="dxa"/>
          </w:tcPr>
          <w:p w14:paraId="6E27CE70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Motivimi</w:t>
            </w:r>
          </w:p>
        </w:tc>
      </w:tr>
      <w:tr w:rsidR="00552019" w14:paraId="384B93BE" w14:textId="77777777" w:rsidTr="005B3AF3">
        <w:tc>
          <w:tcPr>
            <w:tcW w:w="1705" w:type="dxa"/>
          </w:tcPr>
          <w:p w14:paraId="7094BEC4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14</w:t>
            </w:r>
          </w:p>
        </w:tc>
        <w:tc>
          <w:tcPr>
            <w:tcW w:w="7645" w:type="dxa"/>
          </w:tcPr>
          <w:p w14:paraId="15675599" w14:textId="77777777" w:rsidR="00552019" w:rsidRPr="00EE754D" w:rsidRDefault="00EE754D" w:rsidP="00EE754D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EE754D">
              <w:rPr>
                <w:rFonts w:ascii="Times New Roman" w:hAnsi="Times New Roman" w:cs="Times New Roman"/>
                <w:sz w:val="24"/>
                <w:lang w:val="sq-AL"/>
              </w:rPr>
              <w:t>Udhëheqja dhe kontrolli</w:t>
            </w:r>
          </w:p>
        </w:tc>
      </w:tr>
      <w:tr w:rsidR="00552019" w14:paraId="5DF96DBF" w14:textId="77777777" w:rsidTr="005B3AF3">
        <w:tc>
          <w:tcPr>
            <w:tcW w:w="1705" w:type="dxa"/>
          </w:tcPr>
          <w:p w14:paraId="466FAC9A" w14:textId="77777777" w:rsidR="00552019" w:rsidRPr="006A34BC" w:rsidRDefault="00107B59" w:rsidP="006A34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</w:pPr>
            <w:r w:rsidRPr="006A34BC">
              <w:rPr>
                <w:rFonts w:ascii="Times New Roman" w:hAnsi="Times New Roman" w:cs="Times New Roman"/>
                <w:b/>
                <w:i/>
                <w:sz w:val="24"/>
                <w:lang w:val="sq-AL"/>
              </w:rPr>
              <w:t>Java 15</w:t>
            </w:r>
          </w:p>
        </w:tc>
        <w:tc>
          <w:tcPr>
            <w:tcW w:w="7645" w:type="dxa"/>
          </w:tcPr>
          <w:p w14:paraId="453D5BD9" w14:textId="77777777" w:rsidR="00552019" w:rsidRDefault="00EE754D" w:rsidP="006A34BC">
            <w:pPr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Testi 2</w:t>
            </w:r>
          </w:p>
        </w:tc>
      </w:tr>
    </w:tbl>
    <w:p w14:paraId="44F41107" w14:textId="77777777" w:rsidR="00552019" w:rsidRDefault="00552019" w:rsidP="00FA3B0B">
      <w:pPr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4645" w14:paraId="01CB102B" w14:textId="77777777" w:rsidTr="006A34BC">
        <w:tc>
          <w:tcPr>
            <w:tcW w:w="9350" w:type="dxa"/>
            <w:shd w:val="clear" w:color="auto" w:fill="BDD6EE" w:themeFill="accent1" w:themeFillTint="66"/>
            <w:vAlign w:val="center"/>
          </w:tcPr>
          <w:p w14:paraId="623E0ECF" w14:textId="77777777" w:rsidR="009E4645" w:rsidRPr="00C10F09" w:rsidRDefault="009E4645" w:rsidP="006A34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Politikat akademike dhe rregullat e mir</w:t>
            </w:r>
            <w:r w:rsidR="00A4240B"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C10F09">
              <w:rPr>
                <w:rFonts w:ascii="Times New Roman" w:hAnsi="Times New Roman" w:cs="Times New Roman"/>
                <w:b/>
                <w:sz w:val="24"/>
                <w:lang w:val="sq-AL"/>
              </w:rPr>
              <w:t>sjelljes:</w:t>
            </w:r>
          </w:p>
        </w:tc>
      </w:tr>
      <w:tr w:rsidR="009E4645" w14:paraId="091F1027" w14:textId="77777777" w:rsidTr="00C10F09">
        <w:tc>
          <w:tcPr>
            <w:tcW w:w="9350" w:type="dxa"/>
          </w:tcPr>
          <w:p w14:paraId="6637E37D" w14:textId="77777777" w:rsidR="009E4645" w:rsidRDefault="00EE754D" w:rsidP="006A34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Mashtrimi në provim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; plagjiatura; Keq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-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përfaqësimi ose falsifikimi i të dhënave të një ekzaminimi; Komunikimi i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paautorizuar gjatë testeve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; Duke e lejuar me vetëdije që një student tjetër të përfaqësojë punën tuaj si të tijën; Falsifikimi, ndryshimi ose njohja e keqpërdorimi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t të provimeve të vlerësuara, testeve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, listave të notave, ose dokumenteve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 tjera zyrtare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; Vjedhja ose shk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atërrimi i provimeve ose punimeve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; Dorëzimi i të njëj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tës punë në më shumë se një lëndë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 xml:space="preserve">; Ndryshimi ose shkatërrimi i punës 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apo regjistrimeve të një studenti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 xml:space="preserve"> tjetër, Përpjekjet për të ndikuar në mënyrë të parregullt pë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r dhënien e ndonjë kredie, note ose honorari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>; Shk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elja e 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lastRenderedPageBreak/>
              <w:t>rregullave që përcaktojnë</w:t>
            </w:r>
            <w:r w:rsidRPr="007D443E">
              <w:rPr>
                <w:rFonts w:ascii="Times New Roman" w:hAnsi="Times New Roman" w:cs="Times New Roman"/>
                <w:sz w:val="24"/>
                <w:lang w:val="sq-AL"/>
              </w:rPr>
              <w:t xml:space="preserve"> punën ekipore; Mosrespektimi i sanksioneve të vendosura nën autoritetin e këtij kodi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.</w:t>
            </w:r>
          </w:p>
        </w:tc>
      </w:tr>
    </w:tbl>
    <w:p w14:paraId="07BB5534" w14:textId="77777777" w:rsidR="00107B59" w:rsidRPr="00FA3B0B" w:rsidRDefault="00107B59" w:rsidP="00FA3B0B">
      <w:pPr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</w:p>
    <w:sectPr w:rsidR="00107B59" w:rsidRPr="00FA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17D5"/>
    <w:multiLevelType w:val="hybridMultilevel"/>
    <w:tmpl w:val="0F38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5EF"/>
    <w:multiLevelType w:val="hybridMultilevel"/>
    <w:tmpl w:val="1850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0B67"/>
    <w:multiLevelType w:val="hybridMultilevel"/>
    <w:tmpl w:val="BB6E0840"/>
    <w:lvl w:ilvl="0" w:tplc="DCFC4778">
      <w:start w:val="1"/>
      <w:numFmt w:val="decimal"/>
      <w:lvlText w:val="%1."/>
      <w:lvlJc w:val="left"/>
      <w:pPr>
        <w:ind w:left="720" w:hanging="360"/>
      </w:pPr>
      <w:rPr>
        <w:rFonts w:ascii="Lucida Grande" w:eastAsia="Calibri" w:hAnsi="Lucida Grande" w:cs="Lucida Grande" w:hint="default"/>
        <w:b w:val="0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059D"/>
    <w:multiLevelType w:val="hybridMultilevel"/>
    <w:tmpl w:val="A4DC28AC"/>
    <w:lvl w:ilvl="0" w:tplc="56A0C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BA9"/>
    <w:multiLevelType w:val="hybridMultilevel"/>
    <w:tmpl w:val="B066A97C"/>
    <w:lvl w:ilvl="0" w:tplc="DAAC9B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4ADC"/>
    <w:multiLevelType w:val="hybridMultilevel"/>
    <w:tmpl w:val="1850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6B9E"/>
    <w:multiLevelType w:val="hybridMultilevel"/>
    <w:tmpl w:val="B744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16FD"/>
    <w:multiLevelType w:val="hybridMultilevel"/>
    <w:tmpl w:val="52D8A26A"/>
    <w:lvl w:ilvl="0" w:tplc="DF28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4A03"/>
    <w:multiLevelType w:val="hybridMultilevel"/>
    <w:tmpl w:val="4CC8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4E8"/>
    <w:multiLevelType w:val="hybridMultilevel"/>
    <w:tmpl w:val="E500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0B"/>
    <w:rsid w:val="000373B3"/>
    <w:rsid w:val="00107B59"/>
    <w:rsid w:val="00117B20"/>
    <w:rsid w:val="0017363A"/>
    <w:rsid w:val="002024A2"/>
    <w:rsid w:val="00260212"/>
    <w:rsid w:val="00307D7D"/>
    <w:rsid w:val="00336CC4"/>
    <w:rsid w:val="00440946"/>
    <w:rsid w:val="004B2BBA"/>
    <w:rsid w:val="00552019"/>
    <w:rsid w:val="005B1A44"/>
    <w:rsid w:val="005B3AF3"/>
    <w:rsid w:val="005C209F"/>
    <w:rsid w:val="005E2F6E"/>
    <w:rsid w:val="0061182A"/>
    <w:rsid w:val="006962EF"/>
    <w:rsid w:val="006A34BC"/>
    <w:rsid w:val="007A3909"/>
    <w:rsid w:val="00805A63"/>
    <w:rsid w:val="00850EA4"/>
    <w:rsid w:val="0094109E"/>
    <w:rsid w:val="009E4645"/>
    <w:rsid w:val="00A4240B"/>
    <w:rsid w:val="00AE755D"/>
    <w:rsid w:val="00B13B48"/>
    <w:rsid w:val="00C10F09"/>
    <w:rsid w:val="00D47903"/>
    <w:rsid w:val="00EE3B0E"/>
    <w:rsid w:val="00EE754D"/>
    <w:rsid w:val="00FA3B0B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BBFD4"/>
  <w15:docId w15:val="{863CFBAA-F059-4F60-AF08-1430C66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946"/>
    <w:pPr>
      <w:ind w:left="720"/>
      <w:contextualSpacing/>
    </w:pPr>
  </w:style>
  <w:style w:type="paragraph" w:styleId="Footer">
    <w:name w:val="footer"/>
    <w:basedOn w:val="Normal"/>
    <w:link w:val="FooterChar"/>
    <w:rsid w:val="00336C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336C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lorfulList-Accent1Char">
    <w:name w:val="Colorful List - Accent 1 Char"/>
    <w:link w:val="ColorfulList-Accent1"/>
    <w:uiPriority w:val="34"/>
    <w:rsid w:val="00336CC4"/>
    <w:rPr>
      <w:rFonts w:ascii="Book Antiqua" w:eastAsia="Calibri" w:hAnsi="Book Antiqua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336CC4"/>
    <w:pPr>
      <w:spacing w:after="0" w:line="240" w:lineRule="auto"/>
    </w:pPr>
    <w:rPr>
      <w:rFonts w:ascii="Book Antiqua" w:eastAsia="Calibri" w:hAnsi="Book Antiqua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ediumGrid2Char">
    <w:name w:val="Medium Grid 2 Char"/>
    <w:link w:val="MediumGrid2"/>
    <w:uiPriority w:val="1"/>
    <w:rsid w:val="00FD3438"/>
    <w:rPr>
      <w:sz w:val="24"/>
      <w:szCs w:val="24"/>
      <w:lang w:val="en-US" w:eastAsia="en-US" w:bidi="ar-SA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FD343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FD3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87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 Zhushi</dc:creator>
  <cp:lastModifiedBy>Driton Qehaja</cp:lastModifiedBy>
  <cp:revision>3</cp:revision>
  <dcterms:created xsi:type="dcterms:W3CDTF">2021-10-27T13:48:00Z</dcterms:created>
  <dcterms:modified xsi:type="dcterms:W3CDTF">2021-10-27T13:49:00Z</dcterms:modified>
</cp:coreProperties>
</file>