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9A0" w14:textId="7B4794B8" w:rsidR="0089647F" w:rsidRPr="003F5DEF" w:rsidRDefault="00270498" w:rsidP="00817F88">
      <w:pPr>
        <w:rPr>
          <w:b/>
          <w:u w:val="single"/>
        </w:rPr>
      </w:pPr>
      <w:bookmarkStart w:id="0" w:name="_GoBack"/>
      <w:r w:rsidRPr="003F5DEF">
        <w:rPr>
          <w:b/>
          <w:u w:val="single"/>
        </w:rPr>
        <w:t xml:space="preserve">COURSE SYLLABUS FOR </w:t>
      </w:r>
      <w:r w:rsidR="00F16B15" w:rsidRPr="003F5DEF">
        <w:rPr>
          <w:b/>
          <w:u w:val="single"/>
        </w:rPr>
        <w:t>PERSONNEL ECONOMICS</w:t>
      </w:r>
      <w:r w:rsidRPr="003F5DEF">
        <w:rPr>
          <w:b/>
          <w:u w:val="single"/>
        </w:rPr>
        <w:t xml:space="preserve"> – MASTER LEVEL</w:t>
      </w:r>
    </w:p>
    <w:p w14:paraId="37E2F9A2" w14:textId="77777777" w:rsidR="0089647F" w:rsidRPr="003F5DEF" w:rsidRDefault="0089647F" w:rsidP="00817F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89647F" w:rsidRPr="003F5DEF" w14:paraId="34577A02" w14:textId="77777777" w:rsidTr="00A74729">
        <w:tc>
          <w:tcPr>
            <w:tcW w:w="8856" w:type="dxa"/>
            <w:gridSpan w:val="4"/>
            <w:shd w:val="clear" w:color="auto" w:fill="B8CCE4"/>
          </w:tcPr>
          <w:p w14:paraId="198F9518" w14:textId="77777777" w:rsidR="0089647F" w:rsidRPr="003F5DEF" w:rsidRDefault="0089647F" w:rsidP="00817F88">
            <w:pPr>
              <w:pStyle w:val="NoSpacing"/>
              <w:rPr>
                <w:b/>
                <w:lang w:val="en-GB"/>
              </w:rPr>
            </w:pPr>
            <w:r w:rsidRPr="003F5DEF">
              <w:rPr>
                <w:b/>
                <w:lang w:val="en-GB"/>
              </w:rPr>
              <w:t>Basic data for the course</w:t>
            </w:r>
          </w:p>
        </w:tc>
      </w:tr>
      <w:tr w:rsidR="0089647F" w:rsidRPr="003F5DEF" w14:paraId="35610040" w14:textId="77777777" w:rsidTr="00A74729">
        <w:tc>
          <w:tcPr>
            <w:tcW w:w="3617" w:type="dxa"/>
          </w:tcPr>
          <w:p w14:paraId="1AF072B9" w14:textId="77777777" w:rsidR="0089647F" w:rsidRPr="003F5DEF" w:rsidRDefault="0089647F" w:rsidP="00817F88">
            <w:pPr>
              <w:pStyle w:val="NoSpacing"/>
              <w:rPr>
                <w:b/>
                <w:lang w:val="en-GB"/>
              </w:rPr>
            </w:pPr>
            <w:r w:rsidRPr="003F5DEF">
              <w:rPr>
                <w:b/>
                <w:lang w:val="en-GB"/>
              </w:rPr>
              <w:t xml:space="preserve">Academic unit: </w:t>
            </w:r>
          </w:p>
        </w:tc>
        <w:tc>
          <w:tcPr>
            <w:tcW w:w="5239" w:type="dxa"/>
            <w:gridSpan w:val="3"/>
          </w:tcPr>
          <w:p w14:paraId="156DEE70" w14:textId="77777777" w:rsidR="0089647F" w:rsidRPr="003F5DEF" w:rsidRDefault="0089647F" w:rsidP="00817F88">
            <w:pPr>
              <w:pStyle w:val="NoSpacing"/>
              <w:rPr>
                <w:lang w:val="en-GB"/>
              </w:rPr>
            </w:pPr>
            <w:r w:rsidRPr="003F5DEF">
              <w:rPr>
                <w:lang w:val="en-GB"/>
              </w:rPr>
              <w:t>Faculty of Economics</w:t>
            </w:r>
          </w:p>
        </w:tc>
      </w:tr>
      <w:tr w:rsidR="0089647F" w:rsidRPr="003F5DEF" w14:paraId="1AEBAC8B" w14:textId="77777777" w:rsidTr="00A74729">
        <w:tc>
          <w:tcPr>
            <w:tcW w:w="3617" w:type="dxa"/>
          </w:tcPr>
          <w:p w14:paraId="65536E9D" w14:textId="77777777" w:rsidR="0089647F" w:rsidRPr="003F5DEF" w:rsidRDefault="0089647F" w:rsidP="00817F88">
            <w:pPr>
              <w:pStyle w:val="NoSpacing"/>
              <w:rPr>
                <w:b/>
                <w:lang w:val="en-GB"/>
              </w:rPr>
            </w:pPr>
            <w:r w:rsidRPr="003F5DEF">
              <w:rPr>
                <w:b/>
                <w:lang w:val="en-GB"/>
              </w:rPr>
              <w:t>Title of the course:</w:t>
            </w:r>
          </w:p>
        </w:tc>
        <w:tc>
          <w:tcPr>
            <w:tcW w:w="5239" w:type="dxa"/>
            <w:gridSpan w:val="3"/>
          </w:tcPr>
          <w:p w14:paraId="4CC7754B" w14:textId="0E9C531B" w:rsidR="0089647F" w:rsidRPr="003F5DEF" w:rsidRDefault="00F16B15" w:rsidP="00817F88">
            <w:pPr>
              <w:pStyle w:val="NoSpacing"/>
              <w:rPr>
                <w:lang w:val="en-GB"/>
              </w:rPr>
            </w:pPr>
            <w:r w:rsidRPr="003F5DEF">
              <w:t>Personnel Economics</w:t>
            </w:r>
          </w:p>
        </w:tc>
      </w:tr>
      <w:tr w:rsidR="0089647F" w:rsidRPr="003F5DEF" w14:paraId="521BEB62" w14:textId="77777777" w:rsidTr="00A74729">
        <w:tc>
          <w:tcPr>
            <w:tcW w:w="3617" w:type="dxa"/>
          </w:tcPr>
          <w:p w14:paraId="5E47125B" w14:textId="77777777" w:rsidR="0089647F" w:rsidRPr="003F5DEF" w:rsidRDefault="0089647F" w:rsidP="00817F88">
            <w:pPr>
              <w:pStyle w:val="NoSpacing"/>
              <w:rPr>
                <w:b/>
                <w:lang w:val="en-GB"/>
              </w:rPr>
            </w:pPr>
            <w:r w:rsidRPr="003F5DEF">
              <w:rPr>
                <w:b/>
                <w:lang w:val="en-GB"/>
              </w:rPr>
              <w:t>Level:</w:t>
            </w:r>
          </w:p>
        </w:tc>
        <w:tc>
          <w:tcPr>
            <w:tcW w:w="5239" w:type="dxa"/>
            <w:gridSpan w:val="3"/>
          </w:tcPr>
          <w:p w14:paraId="6798204C" w14:textId="3FFA4244" w:rsidR="0089647F" w:rsidRPr="003F5DEF" w:rsidRDefault="00270498" w:rsidP="00817F88">
            <w:pPr>
              <w:pStyle w:val="NoSpacing"/>
              <w:rPr>
                <w:lang w:val="en-GB"/>
              </w:rPr>
            </w:pPr>
            <w:r w:rsidRPr="003F5DEF">
              <w:rPr>
                <w:lang w:val="en-GB"/>
              </w:rPr>
              <w:t>Master</w:t>
            </w:r>
          </w:p>
        </w:tc>
      </w:tr>
      <w:tr w:rsidR="0089647F" w:rsidRPr="003F5DEF" w14:paraId="04F5AC91" w14:textId="77777777" w:rsidTr="00A74729">
        <w:tc>
          <w:tcPr>
            <w:tcW w:w="3617" w:type="dxa"/>
          </w:tcPr>
          <w:p w14:paraId="1421FE66" w14:textId="77777777" w:rsidR="0089647F" w:rsidRPr="003F5DEF" w:rsidRDefault="0089647F" w:rsidP="00817F88">
            <w:pPr>
              <w:pStyle w:val="NoSpacing"/>
              <w:rPr>
                <w:b/>
                <w:lang w:val="en-GB"/>
              </w:rPr>
            </w:pPr>
            <w:r w:rsidRPr="003F5DEF">
              <w:rPr>
                <w:b/>
                <w:lang w:val="en-GB"/>
              </w:rPr>
              <w:t>Status of the course:</w:t>
            </w:r>
          </w:p>
        </w:tc>
        <w:tc>
          <w:tcPr>
            <w:tcW w:w="5239" w:type="dxa"/>
            <w:gridSpan w:val="3"/>
          </w:tcPr>
          <w:p w14:paraId="772942D4" w14:textId="4CF1989E" w:rsidR="0089647F" w:rsidRPr="003F5DEF" w:rsidRDefault="00F16B15" w:rsidP="00817F88">
            <w:pPr>
              <w:pStyle w:val="NoSpacing"/>
              <w:rPr>
                <w:lang w:val="en-GB"/>
              </w:rPr>
            </w:pPr>
            <w:r w:rsidRPr="003F5DEF">
              <w:rPr>
                <w:lang w:val="en-GB"/>
              </w:rPr>
              <w:t>Elective</w:t>
            </w:r>
            <w:r w:rsidR="0089647F" w:rsidRPr="003F5DEF">
              <w:rPr>
                <w:lang w:val="en-GB"/>
              </w:rPr>
              <w:t xml:space="preserve"> </w:t>
            </w:r>
          </w:p>
        </w:tc>
      </w:tr>
      <w:tr w:rsidR="0089647F" w:rsidRPr="003F5DEF" w14:paraId="4ED888FC" w14:textId="77777777" w:rsidTr="00A74729">
        <w:tc>
          <w:tcPr>
            <w:tcW w:w="3617" w:type="dxa"/>
          </w:tcPr>
          <w:p w14:paraId="5FE9D95E" w14:textId="77777777" w:rsidR="0089647F" w:rsidRPr="003F5DEF" w:rsidRDefault="0089647F" w:rsidP="00817F88">
            <w:pPr>
              <w:pStyle w:val="NoSpacing"/>
              <w:rPr>
                <w:b/>
                <w:lang w:val="en-GB"/>
              </w:rPr>
            </w:pPr>
            <w:r w:rsidRPr="003F5DEF">
              <w:rPr>
                <w:b/>
                <w:lang w:val="en-GB"/>
              </w:rPr>
              <w:t>Year of studies:</w:t>
            </w:r>
          </w:p>
        </w:tc>
        <w:tc>
          <w:tcPr>
            <w:tcW w:w="5239" w:type="dxa"/>
            <w:gridSpan w:val="3"/>
          </w:tcPr>
          <w:p w14:paraId="2944C8CF" w14:textId="77777777" w:rsidR="0089647F" w:rsidRPr="003F5DEF" w:rsidRDefault="00A74729" w:rsidP="00817F88">
            <w:pPr>
              <w:pStyle w:val="NoSpacing"/>
              <w:rPr>
                <w:lang w:val="en-GB"/>
              </w:rPr>
            </w:pPr>
            <w:r w:rsidRPr="003F5DEF">
              <w:rPr>
                <w:lang w:val="en-GB"/>
              </w:rPr>
              <w:t>1</w:t>
            </w:r>
            <w:r w:rsidRPr="003F5DEF">
              <w:rPr>
                <w:vertAlign w:val="superscript"/>
                <w:lang w:val="en-GB"/>
              </w:rPr>
              <w:t>st</w:t>
            </w:r>
            <w:r w:rsidRPr="003F5DEF">
              <w:rPr>
                <w:lang w:val="en-GB"/>
              </w:rPr>
              <w:t xml:space="preserve"> Year, 1</w:t>
            </w:r>
            <w:r w:rsidRPr="003F5DEF">
              <w:rPr>
                <w:vertAlign w:val="superscript"/>
                <w:lang w:val="en-GB"/>
              </w:rPr>
              <w:t>st</w:t>
            </w:r>
            <w:r w:rsidRPr="003F5DEF">
              <w:rPr>
                <w:lang w:val="en-GB"/>
              </w:rPr>
              <w:t xml:space="preserve"> Semester</w:t>
            </w:r>
          </w:p>
        </w:tc>
      </w:tr>
      <w:tr w:rsidR="0089647F" w:rsidRPr="003F5DEF" w14:paraId="24E5D412" w14:textId="77777777" w:rsidTr="00A74729">
        <w:tc>
          <w:tcPr>
            <w:tcW w:w="3617" w:type="dxa"/>
          </w:tcPr>
          <w:p w14:paraId="640C18F1" w14:textId="77777777" w:rsidR="0089647F" w:rsidRPr="003F5DEF" w:rsidRDefault="0089647F" w:rsidP="00817F88">
            <w:pPr>
              <w:pStyle w:val="NoSpacing"/>
              <w:rPr>
                <w:b/>
                <w:lang w:val="en-GB"/>
              </w:rPr>
            </w:pPr>
            <w:r w:rsidRPr="003F5DEF">
              <w:rPr>
                <w:b/>
                <w:lang w:val="en-GB"/>
              </w:rPr>
              <w:t>Number of hours per week:</w:t>
            </w:r>
          </w:p>
        </w:tc>
        <w:tc>
          <w:tcPr>
            <w:tcW w:w="5239" w:type="dxa"/>
            <w:gridSpan w:val="3"/>
          </w:tcPr>
          <w:p w14:paraId="3F25B6E2" w14:textId="3D48DC25" w:rsidR="0089647F" w:rsidRPr="003F5DEF" w:rsidRDefault="00F16B15" w:rsidP="00817F88">
            <w:pPr>
              <w:pStyle w:val="NoSpacing"/>
              <w:rPr>
                <w:lang w:val="en-GB"/>
              </w:rPr>
            </w:pPr>
            <w:r w:rsidRPr="003F5DEF">
              <w:rPr>
                <w:lang w:val="en-GB"/>
              </w:rPr>
              <w:t>2</w:t>
            </w:r>
            <w:r w:rsidR="00A74729" w:rsidRPr="003F5DEF">
              <w:rPr>
                <w:lang w:val="en-GB"/>
              </w:rPr>
              <w:t>+</w:t>
            </w:r>
            <w:r w:rsidR="00270498" w:rsidRPr="003F5DEF">
              <w:rPr>
                <w:lang w:val="en-GB"/>
              </w:rPr>
              <w:t>0</w:t>
            </w:r>
          </w:p>
        </w:tc>
      </w:tr>
      <w:tr w:rsidR="0089647F" w:rsidRPr="003F5DEF" w14:paraId="6CFDDC3C" w14:textId="77777777" w:rsidTr="00A74729">
        <w:tc>
          <w:tcPr>
            <w:tcW w:w="3617" w:type="dxa"/>
          </w:tcPr>
          <w:p w14:paraId="20057375" w14:textId="77777777" w:rsidR="0089647F" w:rsidRPr="003F5DEF" w:rsidRDefault="0089647F" w:rsidP="00817F88">
            <w:pPr>
              <w:pStyle w:val="NoSpacing"/>
              <w:rPr>
                <w:b/>
                <w:lang w:val="en-GB"/>
              </w:rPr>
            </w:pPr>
            <w:r w:rsidRPr="003F5DEF">
              <w:rPr>
                <w:b/>
                <w:lang w:val="en-GB"/>
              </w:rPr>
              <w:t>ECTS credits:</w:t>
            </w:r>
          </w:p>
        </w:tc>
        <w:tc>
          <w:tcPr>
            <w:tcW w:w="5239" w:type="dxa"/>
            <w:gridSpan w:val="3"/>
          </w:tcPr>
          <w:p w14:paraId="0C2B1CD5" w14:textId="3A565275" w:rsidR="0089647F" w:rsidRPr="003F5DEF" w:rsidRDefault="00F16B15" w:rsidP="00817F88">
            <w:pPr>
              <w:pStyle w:val="NoSpacing"/>
              <w:rPr>
                <w:lang w:val="en-GB"/>
              </w:rPr>
            </w:pPr>
            <w:r w:rsidRPr="003F5DEF">
              <w:rPr>
                <w:lang w:val="en-GB"/>
              </w:rPr>
              <w:t>4</w:t>
            </w:r>
          </w:p>
        </w:tc>
      </w:tr>
      <w:tr w:rsidR="0089647F" w:rsidRPr="003F5DEF" w14:paraId="314CB8A9" w14:textId="77777777" w:rsidTr="00A74729">
        <w:tc>
          <w:tcPr>
            <w:tcW w:w="3617" w:type="dxa"/>
          </w:tcPr>
          <w:p w14:paraId="61F6E73A" w14:textId="77777777" w:rsidR="0089647F" w:rsidRPr="003F5DEF" w:rsidRDefault="0089647F" w:rsidP="00817F88">
            <w:pPr>
              <w:pStyle w:val="NoSpacing"/>
              <w:rPr>
                <w:b/>
                <w:lang w:val="en-GB"/>
              </w:rPr>
            </w:pPr>
            <w:r w:rsidRPr="003F5DEF">
              <w:rPr>
                <w:b/>
                <w:lang w:val="en-GB"/>
              </w:rPr>
              <w:t>Time/location:</w:t>
            </w:r>
          </w:p>
        </w:tc>
        <w:tc>
          <w:tcPr>
            <w:tcW w:w="5239" w:type="dxa"/>
            <w:gridSpan w:val="3"/>
          </w:tcPr>
          <w:p w14:paraId="5811789B" w14:textId="77777777" w:rsidR="0089647F" w:rsidRPr="003F5DEF" w:rsidRDefault="00A74729" w:rsidP="00817F88">
            <w:pPr>
              <w:pStyle w:val="NoSpacing"/>
              <w:rPr>
                <w:lang w:val="en-GB"/>
              </w:rPr>
            </w:pPr>
            <w:r w:rsidRPr="003F5DEF">
              <w:rPr>
                <w:lang w:val="en-GB"/>
              </w:rPr>
              <w:t>TBD</w:t>
            </w:r>
          </w:p>
        </w:tc>
      </w:tr>
      <w:tr w:rsidR="0089647F" w:rsidRPr="003F5DEF" w14:paraId="05449A35" w14:textId="77777777" w:rsidTr="00A74729">
        <w:tc>
          <w:tcPr>
            <w:tcW w:w="3617" w:type="dxa"/>
          </w:tcPr>
          <w:p w14:paraId="675509E1" w14:textId="77777777" w:rsidR="0089647F" w:rsidRPr="003F5DEF" w:rsidRDefault="0089647F" w:rsidP="00817F88">
            <w:pPr>
              <w:pStyle w:val="NoSpacing"/>
              <w:rPr>
                <w:b/>
                <w:lang w:val="en-GB"/>
              </w:rPr>
            </w:pPr>
            <w:r w:rsidRPr="003F5DEF">
              <w:rPr>
                <w:b/>
                <w:lang w:val="en-GB"/>
              </w:rPr>
              <w:t>Tutor:</w:t>
            </w:r>
          </w:p>
        </w:tc>
        <w:tc>
          <w:tcPr>
            <w:tcW w:w="5239" w:type="dxa"/>
            <w:gridSpan w:val="3"/>
          </w:tcPr>
          <w:p w14:paraId="4468D873" w14:textId="76AD4B79" w:rsidR="0089647F" w:rsidRPr="003F5DEF" w:rsidRDefault="00F16B15" w:rsidP="00F16B15">
            <w:pPr>
              <w:pStyle w:val="NoSpacing"/>
              <w:rPr>
                <w:lang w:val="en-GB"/>
              </w:rPr>
            </w:pPr>
            <w:r w:rsidRPr="003F5DEF">
              <w:rPr>
                <w:lang w:val="en-GB"/>
              </w:rPr>
              <w:t xml:space="preserve">Prof. </w:t>
            </w:r>
            <w:proofErr w:type="spellStart"/>
            <w:r w:rsidR="00A74729" w:rsidRPr="003F5DEF">
              <w:rPr>
                <w:lang w:val="en-GB"/>
              </w:rPr>
              <w:t>Dr.</w:t>
            </w:r>
            <w:proofErr w:type="spellEnd"/>
            <w:r w:rsidR="00A74729" w:rsidRPr="003F5DEF">
              <w:rPr>
                <w:lang w:val="en-GB"/>
              </w:rPr>
              <w:t xml:space="preserve"> </w:t>
            </w:r>
            <w:proofErr w:type="spellStart"/>
            <w:r w:rsidRPr="003F5DEF">
              <w:rPr>
                <w:lang w:val="en-GB"/>
              </w:rPr>
              <w:t>Avdullah</w:t>
            </w:r>
            <w:proofErr w:type="spellEnd"/>
            <w:r w:rsidRPr="003F5DEF">
              <w:rPr>
                <w:lang w:val="en-GB"/>
              </w:rPr>
              <w:t xml:space="preserve"> </w:t>
            </w:r>
            <w:proofErr w:type="spellStart"/>
            <w:r w:rsidRPr="003F5DEF">
              <w:rPr>
                <w:lang w:val="en-GB"/>
              </w:rPr>
              <w:t>Hoti</w:t>
            </w:r>
            <w:proofErr w:type="spellEnd"/>
          </w:p>
        </w:tc>
      </w:tr>
      <w:tr w:rsidR="0089647F" w:rsidRPr="003F5DEF" w14:paraId="7853008F" w14:textId="77777777" w:rsidTr="00A74729">
        <w:tc>
          <w:tcPr>
            <w:tcW w:w="3617" w:type="dxa"/>
          </w:tcPr>
          <w:p w14:paraId="33DCA258" w14:textId="77777777" w:rsidR="0089647F" w:rsidRPr="003F5DEF" w:rsidRDefault="0089647F" w:rsidP="00817F88">
            <w:pPr>
              <w:pStyle w:val="NoSpacing"/>
              <w:rPr>
                <w:b/>
                <w:lang w:val="en-GB"/>
              </w:rPr>
            </w:pPr>
            <w:r w:rsidRPr="003F5DEF">
              <w:rPr>
                <w:b/>
                <w:lang w:val="en-GB"/>
              </w:rPr>
              <w:t xml:space="preserve">Tutor’s contact details: </w:t>
            </w:r>
          </w:p>
        </w:tc>
        <w:tc>
          <w:tcPr>
            <w:tcW w:w="5239" w:type="dxa"/>
            <w:gridSpan w:val="3"/>
          </w:tcPr>
          <w:p w14:paraId="2E93D4AF" w14:textId="079EA646" w:rsidR="0089647F" w:rsidRPr="003F5DEF" w:rsidRDefault="00F16B15" w:rsidP="00817F88">
            <w:pPr>
              <w:pStyle w:val="NoSpacing"/>
              <w:rPr>
                <w:lang w:val="en-GB"/>
              </w:rPr>
            </w:pPr>
            <w:r w:rsidRPr="003F5DEF">
              <w:rPr>
                <w:lang w:val="en-GB"/>
              </w:rPr>
              <w:t>avdullah.hoti@gmail.com</w:t>
            </w:r>
          </w:p>
        </w:tc>
      </w:tr>
      <w:tr w:rsidR="0089647F" w:rsidRPr="003F5DEF" w14:paraId="4F8D0886" w14:textId="77777777" w:rsidTr="00A74729">
        <w:tc>
          <w:tcPr>
            <w:tcW w:w="8856" w:type="dxa"/>
            <w:gridSpan w:val="4"/>
            <w:shd w:val="clear" w:color="auto" w:fill="B8CCE4"/>
          </w:tcPr>
          <w:p w14:paraId="234956A0" w14:textId="77777777" w:rsidR="0089647F" w:rsidRPr="003F5DEF" w:rsidRDefault="0089647F" w:rsidP="00817F88">
            <w:pPr>
              <w:pStyle w:val="NoSpacing"/>
              <w:rPr>
                <w:lang w:val="en-GB"/>
              </w:rPr>
            </w:pPr>
          </w:p>
        </w:tc>
      </w:tr>
      <w:tr w:rsidR="0089647F" w:rsidRPr="003F5DEF" w14:paraId="5CFD13F3" w14:textId="77777777" w:rsidTr="00A74729">
        <w:tc>
          <w:tcPr>
            <w:tcW w:w="3617" w:type="dxa"/>
          </w:tcPr>
          <w:p w14:paraId="708CD2B2" w14:textId="77777777" w:rsidR="0089647F" w:rsidRPr="003F5DEF" w:rsidRDefault="0089647F" w:rsidP="00817F88">
            <w:pPr>
              <w:pStyle w:val="NoSpacing"/>
              <w:rPr>
                <w:b/>
                <w:lang w:val="en-GB"/>
              </w:rPr>
            </w:pPr>
            <w:r w:rsidRPr="003F5DEF">
              <w:rPr>
                <w:b/>
              </w:rPr>
              <w:t>Content of the course</w:t>
            </w:r>
          </w:p>
        </w:tc>
        <w:tc>
          <w:tcPr>
            <w:tcW w:w="5239" w:type="dxa"/>
            <w:gridSpan w:val="3"/>
          </w:tcPr>
          <w:p w14:paraId="657BE495" w14:textId="5EC9C4F3" w:rsidR="0089647F" w:rsidRPr="003F5DEF" w:rsidRDefault="00F16B15" w:rsidP="00817F88">
            <w:pPr>
              <w:jc w:val="both"/>
            </w:pPr>
            <w:r w:rsidRPr="003F5DEF">
              <w:t xml:space="preserve">This course develops an economic perspective on human resource management policies and challenging issues facing organizations, that is, the efficient allocation and motivation of employees, and their professional and skills development within the organization. The course presents and discusses the recruiting mechanisms, training strategies and efficient compensation schemes. Economic thought and empirical analysis are used to evaluate a variety of issues in this area. The course concludes with a brief discussion of the interdisciplinary aspects of personnel economics, including the discussion of ethical perspectives during decision making in respect of corporate social responsibility. </w:t>
            </w:r>
          </w:p>
        </w:tc>
      </w:tr>
      <w:tr w:rsidR="0089647F" w:rsidRPr="003F5DEF" w14:paraId="5DBE0B09" w14:textId="77777777" w:rsidTr="00A74729">
        <w:tc>
          <w:tcPr>
            <w:tcW w:w="3617" w:type="dxa"/>
          </w:tcPr>
          <w:p w14:paraId="73F339B9" w14:textId="77777777" w:rsidR="0089647F" w:rsidRPr="003F5DEF" w:rsidRDefault="0089647F" w:rsidP="00817F88">
            <w:pPr>
              <w:pStyle w:val="NoSpacing"/>
              <w:rPr>
                <w:b/>
                <w:lang w:val="en-GB"/>
              </w:rPr>
            </w:pPr>
            <w:r w:rsidRPr="003F5DEF">
              <w:rPr>
                <w:b/>
              </w:rPr>
              <w:t>Course’s objectives</w:t>
            </w:r>
            <w:r w:rsidRPr="003F5DEF">
              <w:rPr>
                <w:b/>
                <w:lang w:val="en-GB"/>
              </w:rPr>
              <w:t>:</w:t>
            </w:r>
          </w:p>
        </w:tc>
        <w:tc>
          <w:tcPr>
            <w:tcW w:w="5239" w:type="dxa"/>
            <w:gridSpan w:val="3"/>
          </w:tcPr>
          <w:p w14:paraId="105325D5" w14:textId="77777777" w:rsidR="00F16B15" w:rsidRPr="003F5DEF" w:rsidRDefault="00F16B15" w:rsidP="00F16B15">
            <w:pPr>
              <w:pStyle w:val="ListParagraph"/>
              <w:numPr>
                <w:ilvl w:val="0"/>
                <w:numId w:val="2"/>
              </w:numPr>
              <w:ind w:left="433"/>
              <w:rPr>
                <w:lang w:eastAsia="ar-SA"/>
              </w:rPr>
            </w:pPr>
            <w:r w:rsidRPr="003F5DEF">
              <w:rPr>
                <w:lang w:eastAsia="ar-SA"/>
              </w:rPr>
              <w:t>Provide a rigorous introduction to personnel policies and organisational design.</w:t>
            </w:r>
          </w:p>
          <w:p w14:paraId="60DF177F" w14:textId="2D2B2470" w:rsidR="00F16B15" w:rsidRPr="003F5DEF" w:rsidRDefault="00233F5A" w:rsidP="00F16B15">
            <w:pPr>
              <w:pStyle w:val="ListParagraph"/>
              <w:numPr>
                <w:ilvl w:val="0"/>
                <w:numId w:val="2"/>
              </w:numPr>
              <w:ind w:left="433"/>
              <w:rPr>
                <w:lang w:eastAsia="ar-SA"/>
              </w:rPr>
            </w:pPr>
            <w:r w:rsidRPr="003F5DEF">
              <w:rPr>
                <w:lang w:eastAsia="ar-SA"/>
              </w:rPr>
              <w:t>A</w:t>
            </w:r>
            <w:r w:rsidR="00F16B15" w:rsidRPr="003F5DEF">
              <w:rPr>
                <w:lang w:eastAsia="ar-SA"/>
              </w:rPr>
              <w:t>pply modern economic theory and models from personnel economics.</w:t>
            </w:r>
          </w:p>
          <w:p w14:paraId="087A7A9A" w14:textId="0519C51A" w:rsidR="0089647F" w:rsidRPr="003F5DEF" w:rsidRDefault="00F16B15" w:rsidP="00F16B15">
            <w:pPr>
              <w:numPr>
                <w:ilvl w:val="0"/>
                <w:numId w:val="2"/>
              </w:numPr>
              <w:ind w:left="433"/>
              <w:jc w:val="both"/>
            </w:pPr>
            <w:r w:rsidRPr="003F5DEF">
              <w:rPr>
                <w:lang w:eastAsia="ar-SA"/>
              </w:rPr>
              <w:t>Show how economic theory and an</w:t>
            </w:r>
            <w:r w:rsidR="00233F5A" w:rsidRPr="003F5DEF">
              <w:rPr>
                <w:lang w:eastAsia="ar-SA"/>
              </w:rPr>
              <w:t>alysis is used to inform human</w:t>
            </w:r>
            <w:r w:rsidRPr="003F5DEF">
              <w:rPr>
                <w:lang w:eastAsia="ar-SA"/>
              </w:rPr>
              <w:t xml:space="preserve"> resource managers and policy makers on human resources management challenges.</w:t>
            </w:r>
          </w:p>
        </w:tc>
      </w:tr>
      <w:tr w:rsidR="0089647F" w:rsidRPr="003F5DEF" w14:paraId="3D972623" w14:textId="77777777" w:rsidTr="00A74729">
        <w:tc>
          <w:tcPr>
            <w:tcW w:w="3617" w:type="dxa"/>
          </w:tcPr>
          <w:p w14:paraId="5EBA2EBC" w14:textId="77777777" w:rsidR="0089647F" w:rsidRPr="003F5DEF" w:rsidRDefault="0089647F" w:rsidP="00817F88">
            <w:pPr>
              <w:pStyle w:val="NoSpacing"/>
              <w:rPr>
                <w:b/>
                <w:lang w:val="en-GB"/>
              </w:rPr>
            </w:pPr>
            <w:r w:rsidRPr="003F5DEF">
              <w:rPr>
                <w:b/>
              </w:rPr>
              <w:t>The expected outcomes</w:t>
            </w:r>
            <w:r w:rsidRPr="003F5DEF">
              <w:rPr>
                <w:b/>
                <w:lang w:val="en-GB"/>
              </w:rPr>
              <w:t>:</w:t>
            </w:r>
          </w:p>
        </w:tc>
        <w:tc>
          <w:tcPr>
            <w:tcW w:w="5239" w:type="dxa"/>
            <w:gridSpan w:val="3"/>
          </w:tcPr>
          <w:p w14:paraId="34A821C3" w14:textId="77777777" w:rsidR="00F16B15" w:rsidRPr="003F5DEF" w:rsidRDefault="00F16B15" w:rsidP="00F16B15">
            <w:pPr>
              <w:rPr>
                <w:lang w:eastAsia="ar-SA"/>
              </w:rPr>
            </w:pPr>
            <w:r w:rsidRPr="003F5DEF">
              <w:rPr>
                <w:lang w:eastAsia="ar-SA"/>
              </w:rPr>
              <w:t>Upon completion of this course, students will be able to:</w:t>
            </w:r>
          </w:p>
          <w:p w14:paraId="31241347" w14:textId="59DC8726" w:rsidR="00F16B15" w:rsidRPr="003F5DEF" w:rsidRDefault="00F16B15" w:rsidP="00F16B15">
            <w:pPr>
              <w:pStyle w:val="ListParagraph"/>
              <w:numPr>
                <w:ilvl w:val="0"/>
                <w:numId w:val="16"/>
              </w:numPr>
              <w:ind w:left="433"/>
              <w:rPr>
                <w:lang w:eastAsia="ar-SA"/>
              </w:rPr>
            </w:pPr>
            <w:r w:rsidRPr="003F5DEF">
              <w:rPr>
                <w:lang w:eastAsia="ar-SA"/>
              </w:rPr>
              <w:t>Understand clearly the personnel policies and organization design.</w:t>
            </w:r>
          </w:p>
          <w:p w14:paraId="500451AD" w14:textId="520E98F6" w:rsidR="00F16B15" w:rsidRPr="003F5DEF" w:rsidRDefault="00F16B15" w:rsidP="00F16B15">
            <w:pPr>
              <w:pStyle w:val="ListParagraph"/>
              <w:numPr>
                <w:ilvl w:val="0"/>
                <w:numId w:val="16"/>
              </w:numPr>
              <w:ind w:left="433"/>
              <w:rPr>
                <w:lang w:eastAsia="ar-SA"/>
              </w:rPr>
            </w:pPr>
            <w:r w:rsidRPr="003F5DEF">
              <w:rPr>
                <w:lang w:eastAsia="ar-SA"/>
              </w:rPr>
              <w:t>Understand clearly and use economics theory and models in the field of personnel economics.</w:t>
            </w:r>
          </w:p>
          <w:p w14:paraId="27BA9FF4" w14:textId="376DCFF8" w:rsidR="00D842DD" w:rsidRPr="003F5DEF" w:rsidRDefault="00F16B15" w:rsidP="00F16B15">
            <w:pPr>
              <w:pStyle w:val="ListParagraph"/>
              <w:numPr>
                <w:ilvl w:val="0"/>
                <w:numId w:val="16"/>
              </w:numPr>
              <w:ind w:left="433"/>
              <w:rPr>
                <w:lang w:eastAsia="ar-SA"/>
              </w:rPr>
            </w:pPr>
            <w:r w:rsidRPr="003F5DEF">
              <w:rPr>
                <w:lang w:eastAsia="ar-SA"/>
              </w:rPr>
              <w:t xml:space="preserve">Use theory and economic analysis to develop arguments for informing managers and policymakers on the challenges of managing </w:t>
            </w:r>
            <w:r w:rsidRPr="003F5DEF">
              <w:rPr>
                <w:lang w:eastAsia="ar-SA"/>
              </w:rPr>
              <w:lastRenderedPageBreak/>
              <w:t>human resources.</w:t>
            </w:r>
          </w:p>
        </w:tc>
      </w:tr>
      <w:tr w:rsidR="0089647F" w:rsidRPr="003F5DEF" w14:paraId="22D38322" w14:textId="77777777" w:rsidTr="00A74729">
        <w:tc>
          <w:tcPr>
            <w:tcW w:w="8856" w:type="dxa"/>
            <w:gridSpan w:val="4"/>
            <w:shd w:val="clear" w:color="auto" w:fill="B8CCE4"/>
          </w:tcPr>
          <w:p w14:paraId="6A9EE607" w14:textId="77777777" w:rsidR="0089647F" w:rsidRPr="003F5DEF" w:rsidRDefault="0089647F" w:rsidP="00817F88">
            <w:pPr>
              <w:jc w:val="center"/>
              <w:rPr>
                <w:b/>
                <w:i/>
              </w:rPr>
            </w:pPr>
            <w:r w:rsidRPr="003F5DEF">
              <w:rPr>
                <w:b/>
              </w:rPr>
              <w:lastRenderedPageBreak/>
              <w:t xml:space="preserve">The students’ workload </w:t>
            </w:r>
            <w:r w:rsidRPr="003F5DEF">
              <w:rPr>
                <w:b/>
                <w:i/>
              </w:rPr>
              <w:t>(hours per semester, ECTS)</w:t>
            </w:r>
          </w:p>
          <w:p w14:paraId="6CEB8829" w14:textId="77777777" w:rsidR="0089647F" w:rsidRPr="003F5DEF" w:rsidRDefault="0089647F" w:rsidP="00817F88">
            <w:pPr>
              <w:pStyle w:val="NoSpacing"/>
              <w:jc w:val="center"/>
              <w:rPr>
                <w:b/>
                <w:lang w:val="en-GB"/>
              </w:rPr>
            </w:pPr>
          </w:p>
        </w:tc>
      </w:tr>
      <w:tr w:rsidR="0089647F" w:rsidRPr="003F5DEF" w14:paraId="26F2DD55" w14:textId="77777777" w:rsidTr="00A74729">
        <w:tc>
          <w:tcPr>
            <w:tcW w:w="3617" w:type="dxa"/>
            <w:tcBorders>
              <w:right w:val="single" w:sz="4" w:space="0" w:color="auto"/>
            </w:tcBorders>
            <w:shd w:val="clear" w:color="auto" w:fill="B8CCE4"/>
          </w:tcPr>
          <w:p w14:paraId="275A7B1B" w14:textId="77777777" w:rsidR="0089647F" w:rsidRPr="003F5DEF" w:rsidRDefault="0089647F" w:rsidP="00817F88">
            <w:pPr>
              <w:rPr>
                <w:b/>
              </w:rPr>
            </w:pPr>
            <w:r w:rsidRPr="003F5DEF">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3F5DEF" w:rsidRDefault="0089647F" w:rsidP="00817F88">
            <w:pPr>
              <w:rPr>
                <w:b/>
              </w:rPr>
            </w:pPr>
            <w:r w:rsidRPr="003F5DEF">
              <w:rPr>
                <w:b/>
              </w:rPr>
              <w:t>Weeks</w:t>
            </w:r>
          </w:p>
        </w:tc>
        <w:tc>
          <w:tcPr>
            <w:tcW w:w="1770" w:type="dxa"/>
            <w:tcBorders>
              <w:left w:val="single" w:sz="4" w:space="0" w:color="auto"/>
              <w:right w:val="single" w:sz="4" w:space="0" w:color="auto"/>
            </w:tcBorders>
            <w:shd w:val="clear" w:color="auto" w:fill="B8CCE4"/>
          </w:tcPr>
          <w:p w14:paraId="680CADE6" w14:textId="77777777" w:rsidR="0089647F" w:rsidRPr="003F5DEF" w:rsidRDefault="0089647F" w:rsidP="00817F88">
            <w:pPr>
              <w:rPr>
                <w:b/>
              </w:rPr>
            </w:pPr>
            <w:r w:rsidRPr="003F5DEF">
              <w:rPr>
                <w:b/>
              </w:rPr>
              <w:t>Hours</w:t>
            </w:r>
          </w:p>
        </w:tc>
        <w:tc>
          <w:tcPr>
            <w:tcW w:w="2044" w:type="dxa"/>
            <w:tcBorders>
              <w:left w:val="single" w:sz="4" w:space="0" w:color="auto"/>
            </w:tcBorders>
            <w:shd w:val="clear" w:color="auto" w:fill="B8CCE4"/>
          </w:tcPr>
          <w:p w14:paraId="49784B70" w14:textId="77777777" w:rsidR="0089647F" w:rsidRPr="003F5DEF" w:rsidRDefault="0089647F" w:rsidP="00817F88">
            <w:pPr>
              <w:rPr>
                <w:b/>
              </w:rPr>
            </w:pPr>
            <w:r w:rsidRPr="003F5DEF">
              <w:rPr>
                <w:b/>
              </w:rPr>
              <w:t>Total</w:t>
            </w:r>
          </w:p>
        </w:tc>
      </w:tr>
      <w:tr w:rsidR="0089647F" w:rsidRPr="003F5DEF" w14:paraId="0439573B" w14:textId="77777777" w:rsidTr="00A74729">
        <w:tc>
          <w:tcPr>
            <w:tcW w:w="3617" w:type="dxa"/>
            <w:tcBorders>
              <w:right w:val="single" w:sz="4" w:space="0" w:color="auto"/>
            </w:tcBorders>
            <w:shd w:val="clear" w:color="auto" w:fill="FFFFFF"/>
          </w:tcPr>
          <w:p w14:paraId="4E21D0F5" w14:textId="77777777" w:rsidR="0089647F" w:rsidRPr="003F5DEF" w:rsidRDefault="0089647F" w:rsidP="00817F88">
            <w:pPr>
              <w:jc w:val="both"/>
            </w:pPr>
            <w:r w:rsidRPr="003F5DEF">
              <w:t>Lectures</w:t>
            </w:r>
          </w:p>
        </w:tc>
        <w:tc>
          <w:tcPr>
            <w:tcW w:w="1425" w:type="dxa"/>
            <w:tcBorders>
              <w:left w:val="single" w:sz="4" w:space="0" w:color="auto"/>
              <w:right w:val="single" w:sz="4" w:space="0" w:color="auto"/>
            </w:tcBorders>
            <w:shd w:val="clear" w:color="auto" w:fill="FFFFFF"/>
          </w:tcPr>
          <w:p w14:paraId="025A20FF" w14:textId="77777777" w:rsidR="0089647F" w:rsidRPr="003F5DEF" w:rsidRDefault="0089647F" w:rsidP="00817F88">
            <w:pPr>
              <w:jc w:val="center"/>
            </w:pPr>
            <w:r w:rsidRPr="003F5DEF">
              <w:t>15</w:t>
            </w:r>
          </w:p>
        </w:tc>
        <w:tc>
          <w:tcPr>
            <w:tcW w:w="1770" w:type="dxa"/>
            <w:tcBorders>
              <w:left w:val="single" w:sz="4" w:space="0" w:color="auto"/>
              <w:right w:val="single" w:sz="4" w:space="0" w:color="auto"/>
            </w:tcBorders>
            <w:shd w:val="clear" w:color="auto" w:fill="FFFFFF"/>
          </w:tcPr>
          <w:p w14:paraId="56B08FE2" w14:textId="7DF44888" w:rsidR="0089647F" w:rsidRPr="003F5DEF" w:rsidRDefault="00F16B15" w:rsidP="00817F88">
            <w:pPr>
              <w:jc w:val="center"/>
            </w:pPr>
            <w:r w:rsidRPr="003F5DEF">
              <w:t>2</w:t>
            </w:r>
          </w:p>
        </w:tc>
        <w:tc>
          <w:tcPr>
            <w:tcW w:w="2044" w:type="dxa"/>
            <w:tcBorders>
              <w:left w:val="single" w:sz="4" w:space="0" w:color="auto"/>
            </w:tcBorders>
            <w:shd w:val="clear" w:color="auto" w:fill="FFFFFF"/>
          </w:tcPr>
          <w:p w14:paraId="4E8CA240" w14:textId="70DD9335" w:rsidR="0089647F" w:rsidRPr="003F5DEF" w:rsidRDefault="00F16B15" w:rsidP="00817F88">
            <w:pPr>
              <w:jc w:val="center"/>
            </w:pPr>
            <w:r w:rsidRPr="003F5DEF">
              <w:t>30</w:t>
            </w:r>
          </w:p>
        </w:tc>
      </w:tr>
      <w:tr w:rsidR="0089647F" w:rsidRPr="003F5DEF" w14:paraId="0AE3B425" w14:textId="77777777" w:rsidTr="00A74729">
        <w:tc>
          <w:tcPr>
            <w:tcW w:w="3617" w:type="dxa"/>
            <w:tcBorders>
              <w:right w:val="single" w:sz="4" w:space="0" w:color="auto"/>
            </w:tcBorders>
            <w:shd w:val="clear" w:color="auto" w:fill="FFFFFF"/>
          </w:tcPr>
          <w:p w14:paraId="26D42E14" w14:textId="77777777" w:rsidR="0089647F" w:rsidRPr="003F5DEF" w:rsidRDefault="0089647F" w:rsidP="00817F88">
            <w:pPr>
              <w:jc w:val="both"/>
            </w:pPr>
            <w:r w:rsidRPr="003F5DEF">
              <w:t>Seminars (theoretical and practical)</w:t>
            </w:r>
          </w:p>
        </w:tc>
        <w:tc>
          <w:tcPr>
            <w:tcW w:w="1425" w:type="dxa"/>
            <w:tcBorders>
              <w:left w:val="single" w:sz="4" w:space="0" w:color="auto"/>
              <w:right w:val="single" w:sz="4" w:space="0" w:color="auto"/>
            </w:tcBorders>
            <w:shd w:val="clear" w:color="auto" w:fill="FFFFFF"/>
          </w:tcPr>
          <w:p w14:paraId="34F87F39" w14:textId="14026AC9" w:rsidR="0089647F" w:rsidRPr="003F5DEF" w:rsidRDefault="0089647F" w:rsidP="00270498"/>
        </w:tc>
        <w:tc>
          <w:tcPr>
            <w:tcW w:w="1770" w:type="dxa"/>
            <w:tcBorders>
              <w:left w:val="single" w:sz="4" w:space="0" w:color="auto"/>
              <w:right w:val="single" w:sz="4" w:space="0" w:color="auto"/>
            </w:tcBorders>
            <w:shd w:val="clear" w:color="auto" w:fill="FFFFFF"/>
          </w:tcPr>
          <w:p w14:paraId="3C356BE6" w14:textId="3BC7535F" w:rsidR="0089647F" w:rsidRPr="003F5DEF" w:rsidRDefault="0089647F" w:rsidP="00817F88">
            <w:pPr>
              <w:jc w:val="center"/>
            </w:pPr>
          </w:p>
        </w:tc>
        <w:tc>
          <w:tcPr>
            <w:tcW w:w="2044" w:type="dxa"/>
            <w:tcBorders>
              <w:left w:val="single" w:sz="4" w:space="0" w:color="auto"/>
            </w:tcBorders>
            <w:shd w:val="clear" w:color="auto" w:fill="FFFFFF"/>
          </w:tcPr>
          <w:p w14:paraId="68792740" w14:textId="7E58733A" w:rsidR="0089647F" w:rsidRPr="003F5DEF" w:rsidRDefault="0089647F" w:rsidP="00270498"/>
        </w:tc>
      </w:tr>
      <w:tr w:rsidR="0089647F" w:rsidRPr="003F5DEF" w14:paraId="4F903F44" w14:textId="77777777" w:rsidTr="00A74729">
        <w:tc>
          <w:tcPr>
            <w:tcW w:w="3617" w:type="dxa"/>
            <w:tcBorders>
              <w:right w:val="single" w:sz="4" w:space="0" w:color="auto"/>
            </w:tcBorders>
            <w:shd w:val="clear" w:color="auto" w:fill="FFFFFF"/>
          </w:tcPr>
          <w:p w14:paraId="5C82A683" w14:textId="77777777" w:rsidR="0089647F" w:rsidRPr="003F5DEF" w:rsidRDefault="0089647F" w:rsidP="00817F88">
            <w:pPr>
              <w:jc w:val="both"/>
            </w:pPr>
            <w:r w:rsidRPr="003F5DEF">
              <w:t>Case studies</w:t>
            </w:r>
          </w:p>
        </w:tc>
        <w:tc>
          <w:tcPr>
            <w:tcW w:w="1425" w:type="dxa"/>
            <w:tcBorders>
              <w:left w:val="single" w:sz="4" w:space="0" w:color="auto"/>
              <w:right w:val="single" w:sz="4" w:space="0" w:color="auto"/>
            </w:tcBorders>
            <w:shd w:val="clear" w:color="auto" w:fill="FFFFFF"/>
          </w:tcPr>
          <w:p w14:paraId="1B3ADCD6" w14:textId="77777777" w:rsidR="0089647F" w:rsidRPr="003F5DEF" w:rsidRDefault="0089647F" w:rsidP="00817F88">
            <w:pPr>
              <w:jc w:val="center"/>
            </w:pPr>
          </w:p>
        </w:tc>
        <w:tc>
          <w:tcPr>
            <w:tcW w:w="1770" w:type="dxa"/>
            <w:tcBorders>
              <w:left w:val="single" w:sz="4" w:space="0" w:color="auto"/>
              <w:right w:val="single" w:sz="4" w:space="0" w:color="auto"/>
            </w:tcBorders>
            <w:shd w:val="clear" w:color="auto" w:fill="FFFFFF"/>
          </w:tcPr>
          <w:p w14:paraId="3C36D123" w14:textId="77777777" w:rsidR="0089647F" w:rsidRPr="003F5DEF" w:rsidRDefault="0089647F" w:rsidP="00817F88">
            <w:pPr>
              <w:jc w:val="center"/>
            </w:pPr>
          </w:p>
        </w:tc>
        <w:tc>
          <w:tcPr>
            <w:tcW w:w="2044" w:type="dxa"/>
            <w:tcBorders>
              <w:left w:val="single" w:sz="4" w:space="0" w:color="auto"/>
            </w:tcBorders>
            <w:shd w:val="clear" w:color="auto" w:fill="FFFFFF"/>
          </w:tcPr>
          <w:p w14:paraId="1E020BED" w14:textId="77777777" w:rsidR="0089647F" w:rsidRPr="003F5DEF" w:rsidRDefault="0089647F" w:rsidP="00817F88">
            <w:pPr>
              <w:jc w:val="center"/>
            </w:pPr>
          </w:p>
        </w:tc>
      </w:tr>
      <w:tr w:rsidR="0089647F" w:rsidRPr="003F5DEF" w14:paraId="15792A23" w14:textId="77777777" w:rsidTr="00A74729">
        <w:tc>
          <w:tcPr>
            <w:tcW w:w="3617" w:type="dxa"/>
            <w:tcBorders>
              <w:right w:val="single" w:sz="4" w:space="0" w:color="auto"/>
            </w:tcBorders>
            <w:shd w:val="clear" w:color="auto" w:fill="FFFFFF"/>
          </w:tcPr>
          <w:p w14:paraId="6BD7E812" w14:textId="77777777" w:rsidR="0089647F" w:rsidRPr="003F5DEF" w:rsidRDefault="0089647F" w:rsidP="00817F88">
            <w:pPr>
              <w:jc w:val="both"/>
            </w:pPr>
            <w:r w:rsidRPr="003F5DEF">
              <w:t>Direct contact with tutor</w:t>
            </w:r>
          </w:p>
        </w:tc>
        <w:tc>
          <w:tcPr>
            <w:tcW w:w="1425" w:type="dxa"/>
            <w:tcBorders>
              <w:left w:val="single" w:sz="4" w:space="0" w:color="auto"/>
              <w:right w:val="single" w:sz="4" w:space="0" w:color="auto"/>
            </w:tcBorders>
            <w:shd w:val="clear" w:color="auto" w:fill="FFFFFF"/>
          </w:tcPr>
          <w:p w14:paraId="54EEE89C" w14:textId="40E0514C" w:rsidR="0089647F" w:rsidRPr="003F5DEF" w:rsidRDefault="00270498" w:rsidP="00817F88">
            <w:pPr>
              <w:jc w:val="center"/>
            </w:pPr>
            <w:r w:rsidRPr="003F5DEF">
              <w:t>1</w:t>
            </w:r>
          </w:p>
        </w:tc>
        <w:tc>
          <w:tcPr>
            <w:tcW w:w="1770" w:type="dxa"/>
            <w:tcBorders>
              <w:left w:val="single" w:sz="4" w:space="0" w:color="auto"/>
              <w:right w:val="single" w:sz="4" w:space="0" w:color="auto"/>
            </w:tcBorders>
            <w:shd w:val="clear" w:color="auto" w:fill="FFFFFF"/>
          </w:tcPr>
          <w:p w14:paraId="6C5E7C11" w14:textId="789BA38D" w:rsidR="0089647F" w:rsidRPr="003F5DEF" w:rsidRDefault="00270498" w:rsidP="00817F88">
            <w:pPr>
              <w:jc w:val="center"/>
            </w:pPr>
            <w:r w:rsidRPr="003F5DEF">
              <w:t>1</w:t>
            </w:r>
          </w:p>
        </w:tc>
        <w:tc>
          <w:tcPr>
            <w:tcW w:w="2044" w:type="dxa"/>
            <w:tcBorders>
              <w:left w:val="single" w:sz="4" w:space="0" w:color="auto"/>
            </w:tcBorders>
            <w:shd w:val="clear" w:color="auto" w:fill="FFFFFF"/>
          </w:tcPr>
          <w:p w14:paraId="7FCA7861" w14:textId="05DE5B5A" w:rsidR="0089647F" w:rsidRPr="003F5DEF" w:rsidRDefault="00270498" w:rsidP="00817F88">
            <w:pPr>
              <w:jc w:val="center"/>
            </w:pPr>
            <w:r w:rsidRPr="003F5DEF">
              <w:t>1</w:t>
            </w:r>
          </w:p>
        </w:tc>
      </w:tr>
      <w:tr w:rsidR="0089647F" w:rsidRPr="003F5DEF" w14:paraId="73D40F22" w14:textId="77777777" w:rsidTr="00A74729">
        <w:tc>
          <w:tcPr>
            <w:tcW w:w="3617" w:type="dxa"/>
            <w:tcBorders>
              <w:right w:val="single" w:sz="4" w:space="0" w:color="auto"/>
            </w:tcBorders>
            <w:shd w:val="clear" w:color="auto" w:fill="FFFFFF"/>
          </w:tcPr>
          <w:p w14:paraId="64522ECB" w14:textId="77777777" w:rsidR="0089647F" w:rsidRPr="003F5DEF" w:rsidRDefault="0089647F" w:rsidP="00817F88">
            <w:pPr>
              <w:pStyle w:val="NoSpacing"/>
              <w:jc w:val="both"/>
              <w:rPr>
                <w:lang w:val="en-GB"/>
              </w:rPr>
            </w:pPr>
            <w:r w:rsidRPr="003F5DEF">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3F5DEF" w:rsidRDefault="0089647F" w:rsidP="00817F88">
            <w:pPr>
              <w:jc w:val="center"/>
            </w:pPr>
          </w:p>
        </w:tc>
        <w:tc>
          <w:tcPr>
            <w:tcW w:w="1770" w:type="dxa"/>
            <w:tcBorders>
              <w:left w:val="single" w:sz="4" w:space="0" w:color="auto"/>
              <w:right w:val="single" w:sz="4" w:space="0" w:color="auto"/>
            </w:tcBorders>
            <w:shd w:val="clear" w:color="auto" w:fill="FFFFFF"/>
          </w:tcPr>
          <w:p w14:paraId="2CA8EC38" w14:textId="77777777" w:rsidR="0089647F" w:rsidRPr="003F5DEF" w:rsidRDefault="0089647F" w:rsidP="00817F88">
            <w:pPr>
              <w:jc w:val="center"/>
            </w:pPr>
          </w:p>
        </w:tc>
        <w:tc>
          <w:tcPr>
            <w:tcW w:w="2044" w:type="dxa"/>
            <w:tcBorders>
              <w:left w:val="single" w:sz="4" w:space="0" w:color="auto"/>
            </w:tcBorders>
            <w:shd w:val="clear" w:color="auto" w:fill="FFFFFF"/>
          </w:tcPr>
          <w:p w14:paraId="677AF9F5" w14:textId="77777777" w:rsidR="0089647F" w:rsidRPr="003F5DEF" w:rsidRDefault="0089647F" w:rsidP="00817F88">
            <w:pPr>
              <w:jc w:val="center"/>
            </w:pPr>
          </w:p>
        </w:tc>
      </w:tr>
      <w:tr w:rsidR="0089647F" w:rsidRPr="003F5DEF" w14:paraId="35E106C7" w14:textId="77777777" w:rsidTr="00A74729">
        <w:tc>
          <w:tcPr>
            <w:tcW w:w="3617" w:type="dxa"/>
            <w:tcBorders>
              <w:right w:val="single" w:sz="4" w:space="0" w:color="auto"/>
            </w:tcBorders>
            <w:shd w:val="clear" w:color="auto" w:fill="FFFFFF"/>
          </w:tcPr>
          <w:p w14:paraId="2955711B" w14:textId="77777777" w:rsidR="0089647F" w:rsidRPr="003F5DEF" w:rsidRDefault="0089647F" w:rsidP="00817F88">
            <w:pPr>
              <w:pStyle w:val="NoSpacing"/>
              <w:jc w:val="both"/>
              <w:rPr>
                <w:lang w:val="en-GB"/>
              </w:rPr>
            </w:pPr>
            <w:r w:rsidRPr="003F5DEF">
              <w:rPr>
                <w:lang w:val="en-GB"/>
              </w:rPr>
              <w:t>Colloquiums</w:t>
            </w:r>
          </w:p>
        </w:tc>
        <w:tc>
          <w:tcPr>
            <w:tcW w:w="1425" w:type="dxa"/>
            <w:tcBorders>
              <w:left w:val="single" w:sz="4" w:space="0" w:color="auto"/>
              <w:right w:val="single" w:sz="4" w:space="0" w:color="auto"/>
            </w:tcBorders>
            <w:shd w:val="clear" w:color="auto" w:fill="FFFFFF"/>
          </w:tcPr>
          <w:p w14:paraId="4DE0E60F" w14:textId="64411F50" w:rsidR="0089647F" w:rsidRPr="003F5DEF" w:rsidRDefault="0089647F" w:rsidP="00817F88">
            <w:pPr>
              <w:jc w:val="center"/>
            </w:pPr>
          </w:p>
        </w:tc>
        <w:tc>
          <w:tcPr>
            <w:tcW w:w="1770" w:type="dxa"/>
            <w:tcBorders>
              <w:left w:val="single" w:sz="4" w:space="0" w:color="auto"/>
              <w:right w:val="single" w:sz="4" w:space="0" w:color="auto"/>
            </w:tcBorders>
            <w:shd w:val="clear" w:color="auto" w:fill="FFFFFF"/>
          </w:tcPr>
          <w:p w14:paraId="47E6B1B4" w14:textId="587038D5" w:rsidR="0089647F" w:rsidRPr="003F5DEF" w:rsidRDefault="0089647F" w:rsidP="00817F88">
            <w:pPr>
              <w:jc w:val="center"/>
            </w:pPr>
          </w:p>
        </w:tc>
        <w:tc>
          <w:tcPr>
            <w:tcW w:w="2044" w:type="dxa"/>
            <w:tcBorders>
              <w:left w:val="single" w:sz="4" w:space="0" w:color="auto"/>
            </w:tcBorders>
            <w:shd w:val="clear" w:color="auto" w:fill="FFFFFF"/>
          </w:tcPr>
          <w:p w14:paraId="783C2193" w14:textId="31CB1EFA" w:rsidR="0089647F" w:rsidRPr="003F5DEF" w:rsidRDefault="0089647F" w:rsidP="00817F88">
            <w:pPr>
              <w:jc w:val="center"/>
            </w:pPr>
          </w:p>
        </w:tc>
      </w:tr>
      <w:tr w:rsidR="0089647F" w:rsidRPr="003F5DEF" w14:paraId="2DFEA0CA" w14:textId="77777777" w:rsidTr="00A74729">
        <w:tc>
          <w:tcPr>
            <w:tcW w:w="3617" w:type="dxa"/>
            <w:tcBorders>
              <w:right w:val="single" w:sz="4" w:space="0" w:color="auto"/>
            </w:tcBorders>
            <w:shd w:val="clear" w:color="auto" w:fill="FFFFFF"/>
          </w:tcPr>
          <w:p w14:paraId="14CDDC3C" w14:textId="77777777" w:rsidR="0089647F" w:rsidRPr="003F5DEF" w:rsidRDefault="0089647F" w:rsidP="00817F88">
            <w:pPr>
              <w:pStyle w:val="NoSpacing"/>
              <w:jc w:val="both"/>
              <w:rPr>
                <w:lang w:val="en-GB"/>
              </w:rPr>
            </w:pPr>
            <w:r w:rsidRPr="003F5DEF">
              <w:rPr>
                <w:lang w:val="en-GB"/>
              </w:rPr>
              <w:t>Homework</w:t>
            </w:r>
          </w:p>
        </w:tc>
        <w:tc>
          <w:tcPr>
            <w:tcW w:w="1425" w:type="dxa"/>
            <w:tcBorders>
              <w:left w:val="single" w:sz="4" w:space="0" w:color="auto"/>
              <w:right w:val="single" w:sz="4" w:space="0" w:color="auto"/>
            </w:tcBorders>
            <w:shd w:val="clear" w:color="auto" w:fill="FFFFFF"/>
          </w:tcPr>
          <w:p w14:paraId="38869867" w14:textId="4182FC70" w:rsidR="0089647F" w:rsidRPr="003F5DEF" w:rsidRDefault="00270498" w:rsidP="00817F88">
            <w:pPr>
              <w:jc w:val="center"/>
            </w:pPr>
            <w:r w:rsidRPr="003F5DEF">
              <w:t>4</w:t>
            </w:r>
          </w:p>
        </w:tc>
        <w:tc>
          <w:tcPr>
            <w:tcW w:w="1770" w:type="dxa"/>
            <w:tcBorders>
              <w:left w:val="single" w:sz="4" w:space="0" w:color="auto"/>
              <w:right w:val="single" w:sz="4" w:space="0" w:color="auto"/>
            </w:tcBorders>
            <w:shd w:val="clear" w:color="auto" w:fill="FFFFFF"/>
          </w:tcPr>
          <w:p w14:paraId="1E918083" w14:textId="037C59F6" w:rsidR="0089647F" w:rsidRPr="003F5DEF" w:rsidRDefault="00F16B15" w:rsidP="00817F88">
            <w:pPr>
              <w:jc w:val="center"/>
            </w:pPr>
            <w:r w:rsidRPr="003F5DEF">
              <w:t>4</w:t>
            </w:r>
          </w:p>
        </w:tc>
        <w:tc>
          <w:tcPr>
            <w:tcW w:w="2044" w:type="dxa"/>
            <w:tcBorders>
              <w:left w:val="single" w:sz="4" w:space="0" w:color="auto"/>
            </w:tcBorders>
            <w:shd w:val="clear" w:color="auto" w:fill="FFFFFF"/>
          </w:tcPr>
          <w:p w14:paraId="4EFBD3F1" w14:textId="1D17CF47" w:rsidR="0089647F" w:rsidRPr="003F5DEF" w:rsidRDefault="00F16B15" w:rsidP="00817F88">
            <w:pPr>
              <w:jc w:val="center"/>
            </w:pPr>
            <w:r w:rsidRPr="003F5DEF">
              <w:t>16</w:t>
            </w:r>
          </w:p>
        </w:tc>
      </w:tr>
      <w:tr w:rsidR="0089647F" w:rsidRPr="003F5DEF" w14:paraId="07266498" w14:textId="77777777" w:rsidTr="00A74729">
        <w:tc>
          <w:tcPr>
            <w:tcW w:w="3617" w:type="dxa"/>
            <w:tcBorders>
              <w:right w:val="single" w:sz="4" w:space="0" w:color="auto"/>
            </w:tcBorders>
            <w:shd w:val="clear" w:color="auto" w:fill="FFFFFF"/>
          </w:tcPr>
          <w:p w14:paraId="1C6B2FDD" w14:textId="77777777" w:rsidR="0089647F" w:rsidRPr="003F5DEF" w:rsidRDefault="0089647F" w:rsidP="00817F88">
            <w:pPr>
              <w:pStyle w:val="NoSpacing"/>
              <w:jc w:val="both"/>
              <w:rPr>
                <w:lang w:val="en-GB"/>
              </w:rPr>
            </w:pPr>
            <w:r w:rsidRPr="003F5DEF">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3F5DEF" w:rsidRDefault="0089647F" w:rsidP="00817F88">
            <w:pPr>
              <w:jc w:val="center"/>
            </w:pPr>
            <w:r w:rsidRPr="003F5DEF">
              <w:t>15</w:t>
            </w:r>
          </w:p>
        </w:tc>
        <w:tc>
          <w:tcPr>
            <w:tcW w:w="1770" w:type="dxa"/>
            <w:tcBorders>
              <w:left w:val="single" w:sz="4" w:space="0" w:color="auto"/>
              <w:right w:val="single" w:sz="4" w:space="0" w:color="auto"/>
            </w:tcBorders>
            <w:shd w:val="clear" w:color="auto" w:fill="FFFFFF"/>
          </w:tcPr>
          <w:p w14:paraId="4DDA7A0B" w14:textId="6E8F0BC8" w:rsidR="0089647F" w:rsidRPr="003F5DEF" w:rsidRDefault="00F16B15" w:rsidP="00817F88">
            <w:pPr>
              <w:jc w:val="center"/>
            </w:pPr>
            <w:r w:rsidRPr="003F5DEF">
              <w:t>3</w:t>
            </w:r>
          </w:p>
        </w:tc>
        <w:tc>
          <w:tcPr>
            <w:tcW w:w="2044" w:type="dxa"/>
            <w:tcBorders>
              <w:left w:val="single" w:sz="4" w:space="0" w:color="auto"/>
            </w:tcBorders>
            <w:shd w:val="clear" w:color="auto" w:fill="FFFFFF"/>
          </w:tcPr>
          <w:p w14:paraId="5188C625" w14:textId="66C843A1" w:rsidR="0089647F" w:rsidRPr="003F5DEF" w:rsidRDefault="00F16B15" w:rsidP="00817F88">
            <w:pPr>
              <w:jc w:val="center"/>
            </w:pPr>
            <w:r w:rsidRPr="003F5DEF">
              <w:t>45</w:t>
            </w:r>
          </w:p>
        </w:tc>
      </w:tr>
      <w:tr w:rsidR="0089647F" w:rsidRPr="003F5DEF" w14:paraId="58364E0C" w14:textId="77777777" w:rsidTr="00A74729">
        <w:tc>
          <w:tcPr>
            <w:tcW w:w="3617" w:type="dxa"/>
            <w:tcBorders>
              <w:right w:val="single" w:sz="4" w:space="0" w:color="auto"/>
            </w:tcBorders>
            <w:shd w:val="clear" w:color="auto" w:fill="FFFFFF"/>
          </w:tcPr>
          <w:p w14:paraId="66EDC4F4" w14:textId="77777777" w:rsidR="0089647F" w:rsidRPr="003F5DEF" w:rsidRDefault="0089647F" w:rsidP="00817F88">
            <w:pPr>
              <w:pStyle w:val="NoSpacing"/>
              <w:jc w:val="both"/>
              <w:rPr>
                <w:lang w:val="en-GB"/>
              </w:rPr>
            </w:pPr>
            <w:r w:rsidRPr="003F5DEF">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045B8BCE" w:rsidR="0089647F" w:rsidRPr="003F5DEF" w:rsidRDefault="00F16B15" w:rsidP="00817F88">
            <w:pPr>
              <w:jc w:val="center"/>
            </w:pPr>
            <w:r w:rsidRPr="003F5DEF">
              <w:t>2</w:t>
            </w:r>
          </w:p>
        </w:tc>
        <w:tc>
          <w:tcPr>
            <w:tcW w:w="1770" w:type="dxa"/>
            <w:tcBorders>
              <w:left w:val="single" w:sz="4" w:space="0" w:color="auto"/>
              <w:right w:val="single" w:sz="4" w:space="0" w:color="auto"/>
            </w:tcBorders>
            <w:shd w:val="clear" w:color="auto" w:fill="FFFFFF"/>
          </w:tcPr>
          <w:p w14:paraId="69317AD8" w14:textId="49B20031" w:rsidR="0089647F" w:rsidRPr="003F5DEF" w:rsidRDefault="00F16B15" w:rsidP="00817F88">
            <w:pPr>
              <w:jc w:val="center"/>
            </w:pPr>
            <w:r w:rsidRPr="003F5DEF">
              <w:t>4</w:t>
            </w:r>
          </w:p>
        </w:tc>
        <w:tc>
          <w:tcPr>
            <w:tcW w:w="2044" w:type="dxa"/>
            <w:tcBorders>
              <w:left w:val="single" w:sz="4" w:space="0" w:color="auto"/>
            </w:tcBorders>
            <w:shd w:val="clear" w:color="auto" w:fill="FFFFFF"/>
          </w:tcPr>
          <w:p w14:paraId="2A429AB8" w14:textId="5AC698C7" w:rsidR="0089647F" w:rsidRPr="003F5DEF" w:rsidRDefault="00F16B15" w:rsidP="00817F88">
            <w:pPr>
              <w:jc w:val="center"/>
            </w:pPr>
            <w:r w:rsidRPr="003F5DEF">
              <w:t>8</w:t>
            </w:r>
          </w:p>
        </w:tc>
      </w:tr>
      <w:tr w:rsidR="0089647F" w:rsidRPr="003F5DEF" w14:paraId="767E1BDC" w14:textId="77777777" w:rsidTr="00A74729">
        <w:tc>
          <w:tcPr>
            <w:tcW w:w="3617" w:type="dxa"/>
            <w:tcBorders>
              <w:right w:val="single" w:sz="4" w:space="0" w:color="auto"/>
            </w:tcBorders>
            <w:shd w:val="clear" w:color="auto" w:fill="FFFFFF"/>
          </w:tcPr>
          <w:p w14:paraId="365D0DF5" w14:textId="77777777" w:rsidR="0089647F" w:rsidRPr="003F5DEF" w:rsidRDefault="0089647F" w:rsidP="00817F88">
            <w:pPr>
              <w:pStyle w:val="NoSpacing"/>
              <w:jc w:val="both"/>
              <w:rPr>
                <w:lang w:val="en-GB"/>
              </w:rPr>
            </w:pPr>
            <w:r w:rsidRPr="003F5DEF">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3F5DEF" w:rsidRDefault="0089647F" w:rsidP="00817F88">
            <w:pPr>
              <w:jc w:val="right"/>
            </w:pPr>
          </w:p>
        </w:tc>
        <w:tc>
          <w:tcPr>
            <w:tcW w:w="1770" w:type="dxa"/>
            <w:tcBorders>
              <w:left w:val="single" w:sz="4" w:space="0" w:color="auto"/>
              <w:right w:val="single" w:sz="4" w:space="0" w:color="auto"/>
            </w:tcBorders>
            <w:shd w:val="clear" w:color="auto" w:fill="FFFFFF"/>
          </w:tcPr>
          <w:p w14:paraId="6B454000" w14:textId="77777777" w:rsidR="0089647F" w:rsidRPr="003F5DEF" w:rsidRDefault="0089647F" w:rsidP="00817F88">
            <w:pPr>
              <w:jc w:val="right"/>
            </w:pPr>
          </w:p>
        </w:tc>
        <w:tc>
          <w:tcPr>
            <w:tcW w:w="2044" w:type="dxa"/>
            <w:tcBorders>
              <w:left w:val="single" w:sz="4" w:space="0" w:color="auto"/>
            </w:tcBorders>
            <w:shd w:val="clear" w:color="auto" w:fill="FFFFFF"/>
          </w:tcPr>
          <w:p w14:paraId="5AB540A7" w14:textId="77777777" w:rsidR="0089647F" w:rsidRPr="003F5DEF" w:rsidRDefault="0089647F" w:rsidP="00817F88">
            <w:pPr>
              <w:jc w:val="right"/>
            </w:pPr>
          </w:p>
        </w:tc>
      </w:tr>
      <w:tr w:rsidR="0089647F" w:rsidRPr="003F5DEF" w14:paraId="41975128" w14:textId="77777777" w:rsidTr="00A74729">
        <w:tc>
          <w:tcPr>
            <w:tcW w:w="3617" w:type="dxa"/>
            <w:tcBorders>
              <w:right w:val="single" w:sz="4" w:space="0" w:color="auto"/>
            </w:tcBorders>
            <w:shd w:val="clear" w:color="auto" w:fill="FFFFFF"/>
          </w:tcPr>
          <w:p w14:paraId="5EFFB4EA" w14:textId="77777777" w:rsidR="0089647F" w:rsidRPr="003F5DEF" w:rsidRDefault="0089647F" w:rsidP="00817F88">
            <w:pPr>
              <w:pStyle w:val="NoSpacing"/>
              <w:jc w:val="both"/>
              <w:rPr>
                <w:lang w:val="en-GB"/>
              </w:rPr>
            </w:pPr>
            <w:r w:rsidRPr="003F5DEF">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3F5DEF" w:rsidRDefault="0089647F" w:rsidP="00817F88">
            <w:pPr>
              <w:jc w:val="right"/>
            </w:pPr>
          </w:p>
        </w:tc>
        <w:tc>
          <w:tcPr>
            <w:tcW w:w="1770" w:type="dxa"/>
            <w:tcBorders>
              <w:left w:val="single" w:sz="4" w:space="0" w:color="auto"/>
              <w:right w:val="single" w:sz="4" w:space="0" w:color="auto"/>
            </w:tcBorders>
            <w:shd w:val="clear" w:color="auto" w:fill="FFFFFF"/>
          </w:tcPr>
          <w:p w14:paraId="46B40191" w14:textId="77777777" w:rsidR="0089647F" w:rsidRPr="003F5DEF" w:rsidRDefault="0089647F" w:rsidP="00817F88">
            <w:pPr>
              <w:jc w:val="right"/>
            </w:pPr>
          </w:p>
        </w:tc>
        <w:tc>
          <w:tcPr>
            <w:tcW w:w="2044" w:type="dxa"/>
            <w:tcBorders>
              <w:left w:val="single" w:sz="4" w:space="0" w:color="auto"/>
            </w:tcBorders>
            <w:shd w:val="clear" w:color="auto" w:fill="FFFFFF"/>
          </w:tcPr>
          <w:p w14:paraId="02ACFDF5" w14:textId="77777777" w:rsidR="0089647F" w:rsidRPr="003F5DEF" w:rsidRDefault="0089647F" w:rsidP="00817F88">
            <w:pPr>
              <w:jc w:val="right"/>
            </w:pPr>
          </w:p>
        </w:tc>
      </w:tr>
      <w:tr w:rsidR="0089647F" w:rsidRPr="003F5DEF" w14:paraId="607EA606" w14:textId="77777777" w:rsidTr="00A74729">
        <w:tc>
          <w:tcPr>
            <w:tcW w:w="3617" w:type="dxa"/>
            <w:tcBorders>
              <w:right w:val="single" w:sz="4" w:space="0" w:color="auto"/>
            </w:tcBorders>
            <w:shd w:val="clear" w:color="auto" w:fill="B8CCE4"/>
          </w:tcPr>
          <w:p w14:paraId="65114B5D" w14:textId="77777777" w:rsidR="0089647F" w:rsidRPr="003F5DEF" w:rsidRDefault="0089647F" w:rsidP="00817F88">
            <w:pPr>
              <w:rPr>
                <w:b/>
              </w:rPr>
            </w:pPr>
            <w:r w:rsidRPr="003F5DEF">
              <w:rPr>
                <w:b/>
              </w:rPr>
              <w:t>Total</w:t>
            </w:r>
          </w:p>
        </w:tc>
        <w:tc>
          <w:tcPr>
            <w:tcW w:w="1425" w:type="dxa"/>
            <w:tcBorders>
              <w:left w:val="single" w:sz="4" w:space="0" w:color="auto"/>
              <w:right w:val="single" w:sz="4" w:space="0" w:color="auto"/>
            </w:tcBorders>
            <w:shd w:val="clear" w:color="auto" w:fill="B8CCE4"/>
          </w:tcPr>
          <w:p w14:paraId="63852BD7" w14:textId="77777777" w:rsidR="0089647F" w:rsidRPr="003F5DEF" w:rsidRDefault="0089647F" w:rsidP="00817F88">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3F5DEF" w:rsidRDefault="0089647F" w:rsidP="00817F88">
            <w:pPr>
              <w:jc w:val="right"/>
              <w:rPr>
                <w:b/>
                <w:bCs/>
              </w:rPr>
            </w:pPr>
          </w:p>
        </w:tc>
        <w:tc>
          <w:tcPr>
            <w:tcW w:w="2044" w:type="dxa"/>
            <w:tcBorders>
              <w:left w:val="single" w:sz="4" w:space="0" w:color="auto"/>
            </w:tcBorders>
            <w:shd w:val="clear" w:color="auto" w:fill="B8CCE4"/>
          </w:tcPr>
          <w:p w14:paraId="354CDB1D" w14:textId="1B1A5FB5" w:rsidR="0089647F" w:rsidRPr="003F5DEF" w:rsidRDefault="0089647F" w:rsidP="00270498">
            <w:pPr>
              <w:jc w:val="center"/>
              <w:rPr>
                <w:b/>
                <w:bCs/>
              </w:rPr>
            </w:pPr>
            <w:r w:rsidRPr="003F5DEF">
              <w:rPr>
                <w:b/>
                <w:bCs/>
              </w:rPr>
              <w:t>1</w:t>
            </w:r>
            <w:r w:rsidR="00F16B15" w:rsidRPr="003F5DEF">
              <w:rPr>
                <w:b/>
                <w:bCs/>
              </w:rPr>
              <w:t>0</w:t>
            </w:r>
            <w:r w:rsidR="00A74729" w:rsidRPr="003F5DEF">
              <w:rPr>
                <w:b/>
                <w:bCs/>
              </w:rPr>
              <w:t>0</w:t>
            </w:r>
          </w:p>
        </w:tc>
      </w:tr>
      <w:tr w:rsidR="0089647F" w:rsidRPr="003F5DEF" w14:paraId="6E0BA877" w14:textId="77777777" w:rsidTr="00A74729">
        <w:tc>
          <w:tcPr>
            <w:tcW w:w="3617" w:type="dxa"/>
          </w:tcPr>
          <w:p w14:paraId="75B420BF" w14:textId="77777777" w:rsidR="0089647F" w:rsidRPr="003F5DEF" w:rsidRDefault="0089647F" w:rsidP="00817F88">
            <w:pPr>
              <w:tabs>
                <w:tab w:val="num" w:pos="1080"/>
              </w:tabs>
              <w:jc w:val="both"/>
              <w:rPr>
                <w:b/>
              </w:rPr>
            </w:pPr>
            <w:r w:rsidRPr="003F5DEF">
              <w:rPr>
                <w:b/>
              </w:rPr>
              <w:t xml:space="preserve">Teaching methods:  </w:t>
            </w:r>
          </w:p>
        </w:tc>
        <w:tc>
          <w:tcPr>
            <w:tcW w:w="5239" w:type="dxa"/>
            <w:gridSpan w:val="3"/>
          </w:tcPr>
          <w:p w14:paraId="1A594729" w14:textId="77777777" w:rsidR="0089647F" w:rsidRPr="003F5DEF" w:rsidRDefault="00A74729" w:rsidP="00817F88">
            <w:r w:rsidRPr="003F5DEF">
              <w:t>Lectures; tutorials using case studies; homework; guest lectures.</w:t>
            </w:r>
          </w:p>
        </w:tc>
      </w:tr>
      <w:tr w:rsidR="0089647F" w:rsidRPr="003F5DEF" w14:paraId="51659C3A" w14:textId="77777777" w:rsidTr="00A74729">
        <w:tc>
          <w:tcPr>
            <w:tcW w:w="3617" w:type="dxa"/>
          </w:tcPr>
          <w:p w14:paraId="504ABC64" w14:textId="77777777" w:rsidR="0089647F" w:rsidRPr="003F5DEF" w:rsidRDefault="0089647F" w:rsidP="00817F88">
            <w:pPr>
              <w:pStyle w:val="NoSpacing"/>
              <w:rPr>
                <w:b/>
                <w:lang w:val="en-GB"/>
              </w:rPr>
            </w:pPr>
            <w:r w:rsidRPr="003F5DEF">
              <w:rPr>
                <w:b/>
                <w:lang w:val="en-GB"/>
              </w:rPr>
              <w:t>Assessment methods:</w:t>
            </w:r>
          </w:p>
        </w:tc>
        <w:tc>
          <w:tcPr>
            <w:tcW w:w="5239" w:type="dxa"/>
            <w:gridSpan w:val="3"/>
          </w:tcPr>
          <w:p w14:paraId="5E2A162D" w14:textId="77777777" w:rsidR="00A74729" w:rsidRPr="003F5DEF" w:rsidRDefault="00A74729" w:rsidP="00817F88">
            <w:pPr>
              <w:rPr>
                <w:b/>
              </w:rPr>
            </w:pPr>
            <w:r w:rsidRPr="003F5DEF">
              <w:rPr>
                <w:b/>
              </w:rPr>
              <w:t>Activity and assignment point values</w:t>
            </w:r>
          </w:p>
          <w:p w14:paraId="0FA1B1FD" w14:textId="77777777" w:rsidR="00A74729" w:rsidRPr="003F5DEF" w:rsidRDefault="00A74729" w:rsidP="00817F88">
            <w:pPr>
              <w:jc w:val="both"/>
            </w:pPr>
            <w:r w:rsidRPr="003F5DEF">
              <w:t>Grading will be based on:</w:t>
            </w:r>
          </w:p>
          <w:p w14:paraId="39BE73C9" w14:textId="77777777" w:rsidR="00270498" w:rsidRPr="003F5DEF" w:rsidRDefault="00270498" w:rsidP="00270498">
            <w:pPr>
              <w:numPr>
                <w:ilvl w:val="0"/>
                <w:numId w:val="3"/>
              </w:numPr>
              <w:spacing w:line="360" w:lineRule="auto"/>
              <w:jc w:val="both"/>
            </w:pPr>
            <w:r w:rsidRPr="003F5DEF">
              <w:t>Assignment 1 – 25% of the Grade</w:t>
            </w:r>
          </w:p>
          <w:p w14:paraId="5A6CB345" w14:textId="77777777" w:rsidR="00270498" w:rsidRPr="003F5DEF" w:rsidRDefault="00270498" w:rsidP="00270498">
            <w:pPr>
              <w:numPr>
                <w:ilvl w:val="0"/>
                <w:numId w:val="3"/>
              </w:numPr>
              <w:spacing w:line="360" w:lineRule="auto"/>
              <w:jc w:val="both"/>
            </w:pPr>
            <w:r w:rsidRPr="003F5DEF">
              <w:t xml:space="preserve">Midterm exam - 50% of the Grade </w:t>
            </w:r>
          </w:p>
          <w:p w14:paraId="17264253" w14:textId="77777777" w:rsidR="00270498" w:rsidRPr="003F5DEF" w:rsidRDefault="00270498" w:rsidP="00270498">
            <w:pPr>
              <w:numPr>
                <w:ilvl w:val="0"/>
                <w:numId w:val="3"/>
              </w:numPr>
              <w:spacing w:line="360" w:lineRule="auto"/>
              <w:jc w:val="both"/>
            </w:pPr>
            <w:r w:rsidRPr="003F5DEF">
              <w:t>Assignment 2 - 25% of the Grade</w:t>
            </w:r>
          </w:p>
          <w:p w14:paraId="311235BC" w14:textId="77777777" w:rsidR="00A74729" w:rsidRPr="003F5DEF" w:rsidRDefault="00A74729" w:rsidP="00817F88">
            <w:pPr>
              <w:jc w:val="both"/>
            </w:pPr>
            <w:r w:rsidRPr="003F5DEF">
              <w:t>The maximum number of points is 100. The Final grade will be calculated as follows:</w:t>
            </w:r>
          </w:p>
          <w:p w14:paraId="22A42C3D" w14:textId="77777777" w:rsidR="00A74729" w:rsidRPr="003F5DEF" w:rsidRDefault="00A74729" w:rsidP="00817F88">
            <w:pPr>
              <w:jc w:val="both"/>
            </w:pPr>
          </w:p>
          <w:p w14:paraId="0F41E9D1" w14:textId="77777777" w:rsidR="00A74729" w:rsidRPr="003F5DEF" w:rsidRDefault="00A74729" w:rsidP="00817F88">
            <w:pPr>
              <w:jc w:val="both"/>
            </w:pPr>
            <w:r w:rsidRPr="003F5DEF">
              <w:t xml:space="preserve">Percentage       Grade    </w:t>
            </w:r>
            <w:r w:rsidRPr="003F5DEF">
              <w:tab/>
            </w:r>
            <w:proofErr w:type="spellStart"/>
            <w:r w:rsidRPr="003F5DEF">
              <w:t>Grade</w:t>
            </w:r>
            <w:proofErr w:type="spellEnd"/>
            <w:r w:rsidRPr="003F5DEF">
              <w:t xml:space="preserve"> Points</w:t>
            </w:r>
          </w:p>
          <w:p w14:paraId="6EB3BF9B" w14:textId="77777777" w:rsidR="00A74729" w:rsidRPr="003F5DEF" w:rsidRDefault="00A74729" w:rsidP="00817F88">
            <w:pPr>
              <w:ind w:firstLine="360"/>
              <w:jc w:val="both"/>
            </w:pPr>
            <w:r w:rsidRPr="003F5DEF">
              <w:t xml:space="preserve">91 – 100 </w:t>
            </w:r>
            <w:r w:rsidRPr="003F5DEF">
              <w:tab/>
            </w:r>
            <w:r w:rsidRPr="003F5DEF">
              <w:tab/>
              <w:t>A</w:t>
            </w:r>
            <w:r w:rsidRPr="003F5DEF">
              <w:tab/>
            </w:r>
            <w:r w:rsidRPr="003F5DEF">
              <w:tab/>
              <w:t>10</w:t>
            </w:r>
          </w:p>
          <w:p w14:paraId="00CA7E7F" w14:textId="77777777" w:rsidR="00A74729" w:rsidRPr="003F5DEF" w:rsidRDefault="00A74729" w:rsidP="00817F88">
            <w:pPr>
              <w:ind w:firstLine="360"/>
              <w:jc w:val="both"/>
            </w:pPr>
            <w:r w:rsidRPr="003F5DEF">
              <w:t xml:space="preserve">81 – 90 </w:t>
            </w:r>
            <w:r w:rsidRPr="003F5DEF">
              <w:tab/>
            </w:r>
            <w:r w:rsidRPr="003F5DEF">
              <w:tab/>
              <w:t>B</w:t>
            </w:r>
            <w:r w:rsidRPr="003F5DEF">
              <w:rPr>
                <w:vertAlign w:val="superscript"/>
              </w:rPr>
              <w:tab/>
            </w:r>
            <w:r w:rsidRPr="003F5DEF">
              <w:rPr>
                <w:vertAlign w:val="superscript"/>
              </w:rPr>
              <w:tab/>
            </w:r>
            <w:r w:rsidRPr="003F5DEF">
              <w:t>9</w:t>
            </w:r>
          </w:p>
          <w:p w14:paraId="736371E0" w14:textId="77777777" w:rsidR="00A74729" w:rsidRPr="003F5DEF" w:rsidRDefault="00A74729" w:rsidP="00817F88">
            <w:pPr>
              <w:ind w:firstLine="360"/>
              <w:jc w:val="both"/>
            </w:pPr>
            <w:r w:rsidRPr="003F5DEF">
              <w:t xml:space="preserve">71 – 80 </w:t>
            </w:r>
            <w:r w:rsidRPr="003F5DEF">
              <w:tab/>
            </w:r>
            <w:r w:rsidRPr="003F5DEF">
              <w:tab/>
              <w:t>C</w:t>
            </w:r>
            <w:r w:rsidRPr="003F5DEF">
              <w:rPr>
                <w:vertAlign w:val="superscript"/>
              </w:rPr>
              <w:tab/>
            </w:r>
            <w:r w:rsidRPr="003F5DEF">
              <w:rPr>
                <w:vertAlign w:val="superscript"/>
              </w:rPr>
              <w:tab/>
            </w:r>
            <w:r w:rsidRPr="003F5DEF">
              <w:t>8</w:t>
            </w:r>
          </w:p>
          <w:p w14:paraId="491490DE" w14:textId="77777777" w:rsidR="00A74729" w:rsidRPr="003F5DEF" w:rsidRDefault="00A74729" w:rsidP="00817F88">
            <w:pPr>
              <w:ind w:firstLine="360"/>
              <w:jc w:val="both"/>
            </w:pPr>
            <w:r w:rsidRPr="003F5DEF">
              <w:t xml:space="preserve">61 – 70 </w:t>
            </w:r>
            <w:r w:rsidRPr="003F5DEF">
              <w:tab/>
            </w:r>
            <w:r w:rsidRPr="003F5DEF">
              <w:tab/>
              <w:t xml:space="preserve">D </w:t>
            </w:r>
            <w:r w:rsidRPr="003F5DEF">
              <w:tab/>
            </w:r>
            <w:r w:rsidRPr="003F5DEF">
              <w:tab/>
              <w:t>7</w:t>
            </w:r>
          </w:p>
          <w:p w14:paraId="350668A5" w14:textId="77777777" w:rsidR="00A74729" w:rsidRPr="003F5DEF" w:rsidRDefault="00A74729" w:rsidP="00817F88">
            <w:pPr>
              <w:ind w:firstLine="360"/>
              <w:jc w:val="both"/>
            </w:pPr>
            <w:r w:rsidRPr="003F5DEF">
              <w:t xml:space="preserve">51 – 60 </w:t>
            </w:r>
            <w:r w:rsidRPr="003F5DEF">
              <w:tab/>
            </w:r>
            <w:r w:rsidRPr="003F5DEF">
              <w:tab/>
              <w:t>E</w:t>
            </w:r>
            <w:r w:rsidRPr="003F5DEF">
              <w:rPr>
                <w:vertAlign w:val="superscript"/>
              </w:rPr>
              <w:tab/>
            </w:r>
            <w:r w:rsidRPr="003F5DEF">
              <w:rPr>
                <w:vertAlign w:val="superscript"/>
              </w:rPr>
              <w:tab/>
            </w:r>
            <w:r w:rsidRPr="003F5DEF">
              <w:t>6</w:t>
            </w:r>
          </w:p>
          <w:p w14:paraId="7E42528B" w14:textId="6C84DD76" w:rsidR="0089647F" w:rsidRPr="003F5DEF" w:rsidRDefault="00A74729" w:rsidP="00817F88">
            <w:pPr>
              <w:ind w:firstLine="360"/>
              <w:jc w:val="both"/>
            </w:pPr>
            <w:r w:rsidRPr="003F5DEF">
              <w:t>&lt;</w:t>
            </w:r>
            <w:proofErr w:type="gramStart"/>
            <w:r w:rsidRPr="003F5DEF">
              <w:t xml:space="preserve">50  </w:t>
            </w:r>
            <w:r w:rsidRPr="003F5DEF">
              <w:tab/>
            </w:r>
            <w:proofErr w:type="gramEnd"/>
            <w:r w:rsidRPr="003F5DEF">
              <w:tab/>
              <w:t>F</w:t>
            </w:r>
            <w:r w:rsidRPr="003F5DEF">
              <w:rPr>
                <w:vertAlign w:val="superscript"/>
              </w:rPr>
              <w:tab/>
            </w:r>
            <w:r w:rsidRPr="003F5DEF">
              <w:rPr>
                <w:vertAlign w:val="superscript"/>
              </w:rPr>
              <w:tab/>
            </w:r>
            <w:r w:rsidRPr="003F5DEF">
              <w:t>5</w:t>
            </w:r>
          </w:p>
        </w:tc>
      </w:tr>
      <w:tr w:rsidR="0089647F" w:rsidRPr="003F5DEF" w14:paraId="744767C3" w14:textId="77777777" w:rsidTr="00A74729">
        <w:tc>
          <w:tcPr>
            <w:tcW w:w="8856" w:type="dxa"/>
            <w:gridSpan w:val="4"/>
            <w:shd w:val="clear" w:color="auto" w:fill="B8CCE4"/>
          </w:tcPr>
          <w:p w14:paraId="42272F1E" w14:textId="77777777" w:rsidR="0089647F" w:rsidRPr="003F5DEF" w:rsidRDefault="0089647F" w:rsidP="00817F88">
            <w:pPr>
              <w:pStyle w:val="NoSpacing"/>
              <w:rPr>
                <w:b/>
                <w:lang w:val="en-GB"/>
              </w:rPr>
            </w:pPr>
            <w:r w:rsidRPr="003F5DEF">
              <w:rPr>
                <w:b/>
                <w:lang w:val="en-GB"/>
              </w:rPr>
              <w:t>Literature</w:t>
            </w:r>
          </w:p>
        </w:tc>
      </w:tr>
      <w:tr w:rsidR="0089647F" w:rsidRPr="003F5DEF" w14:paraId="32287D17" w14:textId="77777777" w:rsidTr="00A74729">
        <w:tc>
          <w:tcPr>
            <w:tcW w:w="3617" w:type="dxa"/>
          </w:tcPr>
          <w:p w14:paraId="7264AA2F" w14:textId="77777777" w:rsidR="0089647F" w:rsidRPr="003F5DEF" w:rsidRDefault="0089647F" w:rsidP="00817F88">
            <w:pPr>
              <w:pStyle w:val="NoSpacing"/>
              <w:rPr>
                <w:b/>
                <w:lang w:val="en-GB"/>
              </w:rPr>
            </w:pPr>
            <w:r w:rsidRPr="003F5DEF">
              <w:rPr>
                <w:b/>
                <w:lang w:val="en-GB"/>
              </w:rPr>
              <w:t xml:space="preserve">Basic literature:  </w:t>
            </w:r>
          </w:p>
          <w:p w14:paraId="1AE1C124" w14:textId="77777777" w:rsidR="0089647F" w:rsidRPr="003F5DEF" w:rsidRDefault="0089647F" w:rsidP="00817F88">
            <w:pPr>
              <w:jc w:val="center"/>
            </w:pPr>
          </w:p>
        </w:tc>
        <w:tc>
          <w:tcPr>
            <w:tcW w:w="5239" w:type="dxa"/>
            <w:gridSpan w:val="3"/>
          </w:tcPr>
          <w:p w14:paraId="7F15BAB2" w14:textId="77777777" w:rsidR="00F16B15" w:rsidRPr="003F5DEF" w:rsidRDefault="00F16B15" w:rsidP="00F16B15">
            <w:pPr>
              <w:pStyle w:val="ListParagraph"/>
              <w:numPr>
                <w:ilvl w:val="0"/>
                <w:numId w:val="11"/>
              </w:numPr>
              <w:ind w:left="433" w:hanging="270"/>
              <w:rPr>
                <w:color w:val="222222"/>
                <w:shd w:val="clear" w:color="auto" w:fill="FFFFFF"/>
              </w:rPr>
            </w:pPr>
            <w:r w:rsidRPr="003F5DEF">
              <w:rPr>
                <w:color w:val="222222"/>
                <w:shd w:val="clear" w:color="auto" w:fill="FFFFFF"/>
              </w:rPr>
              <w:t>Lazear, Edward P., and Mike Gibbs. </w:t>
            </w:r>
            <w:r w:rsidRPr="003F5DEF">
              <w:rPr>
                <w:i/>
                <w:iCs/>
                <w:color w:val="222222"/>
                <w:shd w:val="clear" w:color="auto" w:fill="FFFFFF"/>
              </w:rPr>
              <w:t>Personnel economics in practice</w:t>
            </w:r>
            <w:r w:rsidRPr="003F5DEF">
              <w:rPr>
                <w:color w:val="222222"/>
                <w:shd w:val="clear" w:color="auto" w:fill="FFFFFF"/>
              </w:rPr>
              <w:t>. John Wiley &amp; Sons, 2014.</w:t>
            </w:r>
          </w:p>
          <w:p w14:paraId="4F05E8A8" w14:textId="77777777" w:rsidR="00F16B15" w:rsidRPr="003F5DEF" w:rsidRDefault="00F16B15" w:rsidP="00F16B15">
            <w:pPr>
              <w:pStyle w:val="ListParagraph"/>
              <w:numPr>
                <w:ilvl w:val="0"/>
                <w:numId w:val="11"/>
              </w:numPr>
              <w:ind w:left="433" w:hanging="270"/>
              <w:rPr>
                <w:color w:val="222222"/>
                <w:shd w:val="clear" w:color="auto" w:fill="FFFFFF"/>
              </w:rPr>
            </w:pPr>
            <w:r w:rsidRPr="003F5DEF">
              <w:rPr>
                <w:color w:val="222222"/>
                <w:shd w:val="clear" w:color="auto" w:fill="FFFFFF"/>
              </w:rPr>
              <w:t>Lazear, Edward P. </w:t>
            </w:r>
            <w:r w:rsidRPr="003F5DEF">
              <w:rPr>
                <w:i/>
                <w:iCs/>
                <w:color w:val="222222"/>
                <w:shd w:val="clear" w:color="auto" w:fill="FFFFFF"/>
              </w:rPr>
              <w:t>Personnel economics for managers</w:t>
            </w:r>
            <w:r w:rsidRPr="003F5DEF">
              <w:rPr>
                <w:color w:val="222222"/>
                <w:shd w:val="clear" w:color="auto" w:fill="FFFFFF"/>
              </w:rPr>
              <w:t>. New York: Wiley, 2007</w:t>
            </w:r>
          </w:p>
          <w:p w14:paraId="1B71C256" w14:textId="77777777" w:rsidR="00F16B15" w:rsidRPr="003F5DEF" w:rsidRDefault="00F16B15" w:rsidP="00F16B15">
            <w:pPr>
              <w:rPr>
                <w:color w:val="222222"/>
                <w:shd w:val="clear" w:color="auto" w:fill="FFFFFF"/>
              </w:rPr>
            </w:pPr>
          </w:p>
          <w:p w14:paraId="22765F08" w14:textId="76391031" w:rsidR="0089647F" w:rsidRPr="003F5DEF" w:rsidRDefault="00A74729" w:rsidP="00F16B15">
            <w:pPr>
              <w:rPr>
                <w:b/>
                <w:bCs/>
              </w:rPr>
            </w:pPr>
            <w:r w:rsidRPr="003F5DEF">
              <w:rPr>
                <w:b/>
                <w:bCs/>
                <w:i/>
              </w:rPr>
              <w:t>You do NOT have to purchase the most recent version of this textbook</w:t>
            </w:r>
            <w:r w:rsidRPr="003F5DEF">
              <w:rPr>
                <w:b/>
                <w:bCs/>
              </w:rPr>
              <w:t xml:space="preserve">. </w:t>
            </w:r>
          </w:p>
        </w:tc>
      </w:tr>
      <w:tr w:rsidR="0089647F" w:rsidRPr="003F5DEF" w14:paraId="6FE0B738" w14:textId="77777777" w:rsidTr="00A74729">
        <w:tc>
          <w:tcPr>
            <w:tcW w:w="3617" w:type="dxa"/>
          </w:tcPr>
          <w:p w14:paraId="5653A442" w14:textId="77777777" w:rsidR="0089647F" w:rsidRPr="003F5DEF" w:rsidRDefault="0089647F" w:rsidP="00817F88">
            <w:pPr>
              <w:pStyle w:val="NoSpacing"/>
              <w:rPr>
                <w:b/>
                <w:lang w:val="en-GB"/>
              </w:rPr>
            </w:pPr>
            <w:r w:rsidRPr="003F5DEF">
              <w:rPr>
                <w:b/>
                <w:lang w:val="en-GB"/>
              </w:rPr>
              <w:t>Additional literature:</w:t>
            </w:r>
          </w:p>
        </w:tc>
        <w:tc>
          <w:tcPr>
            <w:tcW w:w="5239" w:type="dxa"/>
            <w:gridSpan w:val="3"/>
          </w:tcPr>
          <w:p w14:paraId="494D5F53" w14:textId="48670FAB" w:rsidR="00F16B15" w:rsidRPr="003F5DEF" w:rsidRDefault="00F16B15" w:rsidP="00F16B15">
            <w:pPr>
              <w:tabs>
                <w:tab w:val="left" w:pos="600"/>
              </w:tabs>
            </w:pPr>
            <w:r w:rsidRPr="003F5DEF">
              <w:t>Research papers:</w:t>
            </w:r>
          </w:p>
          <w:p w14:paraId="384ECC9E" w14:textId="77777777" w:rsidR="00F16B15" w:rsidRPr="003F5DEF" w:rsidRDefault="00F16B15" w:rsidP="00F16B15">
            <w:pPr>
              <w:pStyle w:val="ListParagraph"/>
              <w:numPr>
                <w:ilvl w:val="0"/>
                <w:numId w:val="15"/>
              </w:numPr>
              <w:shd w:val="clear" w:color="auto" w:fill="FFFFFF"/>
              <w:ind w:left="433"/>
            </w:pPr>
            <w:r w:rsidRPr="003F5DEF">
              <w:rPr>
                <w:color w:val="222222"/>
                <w:shd w:val="clear" w:color="auto" w:fill="FFFFFF"/>
              </w:rPr>
              <w:lastRenderedPageBreak/>
              <w:t>Lazear, Edward P. "The future of personnel economics." </w:t>
            </w:r>
            <w:r w:rsidRPr="003F5DEF">
              <w:rPr>
                <w:i/>
                <w:iCs/>
                <w:color w:val="222222"/>
                <w:shd w:val="clear" w:color="auto" w:fill="FFFFFF"/>
              </w:rPr>
              <w:t>Economic Journal</w:t>
            </w:r>
            <w:r w:rsidRPr="003F5DEF">
              <w:rPr>
                <w:color w:val="222222"/>
                <w:shd w:val="clear" w:color="auto" w:fill="FFFFFF"/>
              </w:rPr>
              <w:t> (2000): F611-F639.</w:t>
            </w:r>
            <w:r w:rsidRPr="003F5DEF">
              <w:t xml:space="preserve">   </w:t>
            </w:r>
          </w:p>
          <w:p w14:paraId="420C9E98" w14:textId="77777777" w:rsidR="00F16B15" w:rsidRPr="003F5DEF" w:rsidRDefault="00F16B15" w:rsidP="00F16B15">
            <w:pPr>
              <w:pStyle w:val="ListParagraph"/>
              <w:numPr>
                <w:ilvl w:val="0"/>
                <w:numId w:val="15"/>
              </w:numPr>
              <w:shd w:val="clear" w:color="auto" w:fill="FFFFFF"/>
              <w:ind w:left="433"/>
            </w:pPr>
            <w:r w:rsidRPr="003F5DEF">
              <w:rPr>
                <w:color w:val="222222"/>
                <w:shd w:val="clear" w:color="auto" w:fill="FFFFFF"/>
              </w:rPr>
              <w:t>Lazear, Edward P., and Kathryn L. Shaw. "Personnel economics: The economist's view of human resources." </w:t>
            </w:r>
            <w:r w:rsidRPr="003F5DEF">
              <w:rPr>
                <w:i/>
                <w:iCs/>
                <w:color w:val="222222"/>
                <w:shd w:val="clear" w:color="auto" w:fill="FFFFFF"/>
              </w:rPr>
              <w:t>Journal of economic perspectives</w:t>
            </w:r>
            <w:r w:rsidRPr="003F5DEF">
              <w:rPr>
                <w:color w:val="222222"/>
                <w:shd w:val="clear" w:color="auto" w:fill="FFFFFF"/>
              </w:rPr>
              <w:t> 21.4 (2007): 91-114.</w:t>
            </w:r>
          </w:p>
          <w:p w14:paraId="792CF4D9" w14:textId="77777777" w:rsidR="00F16B15" w:rsidRPr="003F5DEF" w:rsidRDefault="00F16B15" w:rsidP="00F16B15">
            <w:pPr>
              <w:pStyle w:val="ListParagraph"/>
              <w:numPr>
                <w:ilvl w:val="0"/>
                <w:numId w:val="15"/>
              </w:numPr>
              <w:shd w:val="clear" w:color="auto" w:fill="FFFFFF"/>
              <w:ind w:left="433"/>
            </w:pPr>
            <w:r w:rsidRPr="003F5DEF">
              <w:rPr>
                <w:color w:val="222222"/>
                <w:shd w:val="clear" w:color="auto" w:fill="FFFFFF"/>
              </w:rPr>
              <w:t xml:space="preserve">Lazear, Edward P., and Paul </w:t>
            </w:r>
            <w:proofErr w:type="spellStart"/>
            <w:r w:rsidRPr="003F5DEF">
              <w:rPr>
                <w:color w:val="222222"/>
                <w:shd w:val="clear" w:color="auto" w:fill="FFFFFF"/>
              </w:rPr>
              <w:t>Oyer</w:t>
            </w:r>
            <w:proofErr w:type="spellEnd"/>
            <w:r w:rsidRPr="003F5DEF">
              <w:rPr>
                <w:color w:val="222222"/>
                <w:shd w:val="clear" w:color="auto" w:fill="FFFFFF"/>
              </w:rPr>
              <w:t>. </w:t>
            </w:r>
            <w:r w:rsidRPr="003F5DEF">
              <w:rPr>
                <w:i/>
                <w:iCs/>
                <w:color w:val="222222"/>
                <w:shd w:val="clear" w:color="auto" w:fill="FFFFFF"/>
              </w:rPr>
              <w:t>Personnel economics</w:t>
            </w:r>
            <w:r w:rsidRPr="003F5DEF">
              <w:rPr>
                <w:color w:val="222222"/>
                <w:shd w:val="clear" w:color="auto" w:fill="FFFFFF"/>
              </w:rPr>
              <w:t>. No. w13480. National Bureau of economic research, 2007.</w:t>
            </w:r>
          </w:p>
          <w:p w14:paraId="4CBA1B8C" w14:textId="77777777" w:rsidR="00F16B15" w:rsidRPr="003F5DEF" w:rsidRDefault="00F16B15" w:rsidP="00F16B15">
            <w:pPr>
              <w:pStyle w:val="ListParagraph"/>
              <w:numPr>
                <w:ilvl w:val="0"/>
                <w:numId w:val="15"/>
              </w:numPr>
              <w:shd w:val="clear" w:color="auto" w:fill="FFFFFF"/>
              <w:ind w:left="433"/>
            </w:pPr>
            <w:r w:rsidRPr="003F5DEF">
              <w:rPr>
                <w:color w:val="222222"/>
                <w:shd w:val="clear" w:color="auto" w:fill="FFFFFF"/>
              </w:rPr>
              <w:t>Lazear, Edward P. "Inside the firm: contributions to personnel economics." </w:t>
            </w:r>
            <w:r w:rsidRPr="003F5DEF">
              <w:rPr>
                <w:i/>
                <w:iCs/>
                <w:color w:val="222222"/>
                <w:shd w:val="clear" w:color="auto" w:fill="FFFFFF"/>
              </w:rPr>
              <w:t>OUP Catalogue</w:t>
            </w:r>
            <w:r w:rsidRPr="003F5DEF">
              <w:rPr>
                <w:color w:val="222222"/>
                <w:shd w:val="clear" w:color="auto" w:fill="FFFFFF"/>
              </w:rPr>
              <w:t> (2011).</w:t>
            </w:r>
          </w:p>
          <w:p w14:paraId="1ABFA74C" w14:textId="77777777" w:rsidR="00F16B15" w:rsidRPr="003F5DEF" w:rsidRDefault="00F16B15" w:rsidP="00F16B15">
            <w:pPr>
              <w:pStyle w:val="ListParagraph"/>
              <w:numPr>
                <w:ilvl w:val="0"/>
                <w:numId w:val="15"/>
              </w:numPr>
              <w:shd w:val="clear" w:color="auto" w:fill="FFFFFF"/>
              <w:ind w:left="433"/>
            </w:pPr>
            <w:proofErr w:type="spellStart"/>
            <w:r w:rsidRPr="003F5DEF">
              <w:rPr>
                <w:color w:val="222222"/>
                <w:shd w:val="clear" w:color="auto" w:fill="FFFFFF"/>
              </w:rPr>
              <w:t>Artz</w:t>
            </w:r>
            <w:proofErr w:type="spellEnd"/>
            <w:r w:rsidRPr="003F5DEF">
              <w:rPr>
                <w:color w:val="222222"/>
                <w:shd w:val="clear" w:color="auto" w:fill="FFFFFF"/>
              </w:rPr>
              <w:t>, Benjamin. "Fringe benefits and job satisfaction." </w:t>
            </w:r>
            <w:r w:rsidRPr="003F5DEF">
              <w:rPr>
                <w:i/>
                <w:iCs/>
                <w:color w:val="222222"/>
                <w:shd w:val="clear" w:color="auto" w:fill="FFFFFF"/>
              </w:rPr>
              <w:t>International journal of manpower</w:t>
            </w:r>
            <w:r w:rsidRPr="003F5DEF">
              <w:rPr>
                <w:color w:val="222222"/>
                <w:shd w:val="clear" w:color="auto" w:fill="FFFFFF"/>
              </w:rPr>
              <w:t> 31.6 (2010): 626-644.</w:t>
            </w:r>
          </w:p>
          <w:p w14:paraId="4581D57E" w14:textId="77777777" w:rsidR="00F16B15" w:rsidRPr="003F5DEF" w:rsidRDefault="00F16B15" w:rsidP="00F16B15">
            <w:pPr>
              <w:pStyle w:val="ListParagraph"/>
              <w:numPr>
                <w:ilvl w:val="0"/>
                <w:numId w:val="15"/>
              </w:numPr>
              <w:shd w:val="clear" w:color="auto" w:fill="FFFFFF"/>
              <w:ind w:left="433"/>
            </w:pPr>
            <w:r w:rsidRPr="003F5DEF">
              <w:rPr>
                <w:color w:val="222222"/>
                <w:shd w:val="clear" w:color="auto" w:fill="FFFFFF"/>
              </w:rPr>
              <w:t xml:space="preserve">Mohammad </w:t>
            </w:r>
            <w:proofErr w:type="spellStart"/>
            <w:r w:rsidRPr="003F5DEF">
              <w:rPr>
                <w:color w:val="222222"/>
                <w:shd w:val="clear" w:color="auto" w:fill="FFFFFF"/>
              </w:rPr>
              <w:t>Mosadegh</w:t>
            </w:r>
            <w:proofErr w:type="spellEnd"/>
            <w:r w:rsidRPr="003F5DEF">
              <w:rPr>
                <w:color w:val="222222"/>
                <w:shd w:val="clear" w:color="auto" w:fill="FFFFFF"/>
              </w:rPr>
              <w:t xml:space="preserve"> Rad, Ali, and Mohammad Hossein </w:t>
            </w:r>
            <w:proofErr w:type="spellStart"/>
            <w:r w:rsidRPr="003F5DEF">
              <w:rPr>
                <w:color w:val="222222"/>
                <w:shd w:val="clear" w:color="auto" w:fill="FFFFFF"/>
              </w:rPr>
              <w:t>Yarmohammadian</w:t>
            </w:r>
            <w:proofErr w:type="spellEnd"/>
            <w:r w:rsidRPr="003F5DEF">
              <w:rPr>
                <w:color w:val="222222"/>
                <w:shd w:val="clear" w:color="auto" w:fill="FFFFFF"/>
              </w:rPr>
              <w:t>. "A study of relationship between managers' leadership style and employees' job satisfaction." </w:t>
            </w:r>
            <w:r w:rsidRPr="003F5DEF">
              <w:rPr>
                <w:i/>
                <w:iCs/>
                <w:color w:val="222222"/>
                <w:shd w:val="clear" w:color="auto" w:fill="FFFFFF"/>
              </w:rPr>
              <w:t>Leadership in Health Services</w:t>
            </w:r>
            <w:r w:rsidRPr="003F5DEF">
              <w:rPr>
                <w:color w:val="222222"/>
                <w:shd w:val="clear" w:color="auto" w:fill="FFFFFF"/>
              </w:rPr>
              <w:t> 19.2 (2006): 11-28.</w:t>
            </w:r>
          </w:p>
          <w:p w14:paraId="20E8162C" w14:textId="77777777" w:rsidR="00F16B15" w:rsidRPr="003F5DEF" w:rsidRDefault="00F16B15" w:rsidP="00F16B15">
            <w:pPr>
              <w:pStyle w:val="ListParagraph"/>
              <w:numPr>
                <w:ilvl w:val="0"/>
                <w:numId w:val="15"/>
              </w:numPr>
              <w:shd w:val="clear" w:color="auto" w:fill="FFFFFF"/>
              <w:ind w:left="433"/>
            </w:pPr>
            <w:r w:rsidRPr="003F5DEF">
              <w:rPr>
                <w:color w:val="222222"/>
                <w:shd w:val="clear" w:color="auto" w:fill="FFFFFF"/>
              </w:rPr>
              <w:t xml:space="preserve">Landers, Renee M., James B. </w:t>
            </w:r>
            <w:proofErr w:type="spellStart"/>
            <w:r w:rsidRPr="003F5DEF">
              <w:rPr>
                <w:color w:val="222222"/>
                <w:shd w:val="clear" w:color="auto" w:fill="FFFFFF"/>
              </w:rPr>
              <w:t>Rebitzer</w:t>
            </w:r>
            <w:proofErr w:type="spellEnd"/>
            <w:r w:rsidRPr="003F5DEF">
              <w:rPr>
                <w:color w:val="222222"/>
                <w:shd w:val="clear" w:color="auto" w:fill="FFFFFF"/>
              </w:rPr>
              <w:t>, and Lowell J. Taylor. "Rat race redux: Adverse selection in the determination of work hours in law firms." </w:t>
            </w:r>
            <w:r w:rsidRPr="003F5DEF">
              <w:rPr>
                <w:i/>
                <w:iCs/>
                <w:color w:val="222222"/>
                <w:shd w:val="clear" w:color="auto" w:fill="FFFFFF"/>
              </w:rPr>
              <w:t xml:space="preserve">The American Economic </w:t>
            </w:r>
            <w:proofErr w:type="gramStart"/>
            <w:r w:rsidRPr="003F5DEF">
              <w:rPr>
                <w:i/>
                <w:iCs/>
                <w:color w:val="222222"/>
                <w:shd w:val="clear" w:color="auto" w:fill="FFFFFF"/>
              </w:rPr>
              <w:t>Review</w:t>
            </w:r>
            <w:r w:rsidRPr="003F5DEF">
              <w:rPr>
                <w:color w:val="222222"/>
                <w:shd w:val="clear" w:color="auto" w:fill="FFFFFF"/>
              </w:rPr>
              <w:t>(</w:t>
            </w:r>
            <w:proofErr w:type="gramEnd"/>
            <w:r w:rsidRPr="003F5DEF">
              <w:rPr>
                <w:color w:val="222222"/>
                <w:shd w:val="clear" w:color="auto" w:fill="FFFFFF"/>
              </w:rPr>
              <w:t>1996): 329-348.</w:t>
            </w:r>
          </w:p>
          <w:p w14:paraId="494A164A" w14:textId="77777777" w:rsidR="00270498" w:rsidRPr="003F5DEF" w:rsidRDefault="00270498" w:rsidP="00270498">
            <w:pPr>
              <w:spacing w:before="100" w:beforeAutospacing="1" w:after="100" w:afterAutospacing="1"/>
            </w:pPr>
            <w:r w:rsidRPr="003F5DEF">
              <w:t>The texts will be supplemented with journal articles and current affairs readings drawn from daily newspapers and other internet sources.</w:t>
            </w:r>
          </w:p>
          <w:p w14:paraId="31A05B70" w14:textId="257CDC8E" w:rsidR="00270498" w:rsidRPr="003F5DEF" w:rsidRDefault="00270498" w:rsidP="00270498">
            <w:pPr>
              <w:spacing w:line="360" w:lineRule="auto"/>
              <w:jc w:val="both"/>
              <w:rPr>
                <w:i/>
              </w:rPr>
            </w:pPr>
            <w:r w:rsidRPr="003F5DEF">
              <w:rPr>
                <w:i/>
              </w:rPr>
              <w:t>Other supplementary materials will be uploaded on the SEMS.</w:t>
            </w:r>
          </w:p>
        </w:tc>
      </w:tr>
    </w:tbl>
    <w:p w14:paraId="1AE1CFE3" w14:textId="77777777" w:rsidR="0089647F" w:rsidRPr="003F5DEF" w:rsidRDefault="0089647F" w:rsidP="00817F88">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3F5DEF" w14:paraId="3134BA64" w14:textId="77777777" w:rsidTr="00A74729">
        <w:tc>
          <w:tcPr>
            <w:tcW w:w="8856" w:type="dxa"/>
            <w:gridSpan w:val="2"/>
            <w:shd w:val="clear" w:color="auto" w:fill="B8CCE4"/>
          </w:tcPr>
          <w:p w14:paraId="63F10AB5" w14:textId="77777777" w:rsidR="0089647F" w:rsidRPr="003F5DEF" w:rsidRDefault="0089647F" w:rsidP="00817F88">
            <w:pPr>
              <w:rPr>
                <w:b/>
              </w:rPr>
            </w:pPr>
            <w:r w:rsidRPr="003F5DEF">
              <w:rPr>
                <w:b/>
              </w:rPr>
              <w:t xml:space="preserve">The detailed plan of work:  </w:t>
            </w:r>
          </w:p>
        </w:tc>
      </w:tr>
      <w:tr w:rsidR="0089647F" w:rsidRPr="003F5DEF" w14:paraId="0F8FC8E9" w14:textId="77777777" w:rsidTr="00A74729">
        <w:tc>
          <w:tcPr>
            <w:tcW w:w="2718" w:type="dxa"/>
            <w:shd w:val="clear" w:color="auto" w:fill="B8CCE4"/>
          </w:tcPr>
          <w:p w14:paraId="4EDF52BD" w14:textId="77777777" w:rsidR="0089647F" w:rsidRPr="003F5DEF" w:rsidRDefault="0089647F" w:rsidP="00817F88">
            <w:pPr>
              <w:rPr>
                <w:b/>
              </w:rPr>
            </w:pPr>
            <w:r w:rsidRPr="003F5DEF">
              <w:rPr>
                <w:b/>
              </w:rPr>
              <w:t>Week</w:t>
            </w:r>
          </w:p>
        </w:tc>
        <w:tc>
          <w:tcPr>
            <w:tcW w:w="6138" w:type="dxa"/>
            <w:shd w:val="clear" w:color="auto" w:fill="B8CCE4"/>
          </w:tcPr>
          <w:p w14:paraId="6875F047" w14:textId="77777777" w:rsidR="0089647F" w:rsidRPr="003F5DEF" w:rsidRDefault="0089647F" w:rsidP="00817F88">
            <w:pPr>
              <w:rPr>
                <w:b/>
              </w:rPr>
            </w:pPr>
            <w:r w:rsidRPr="003F5DEF">
              <w:rPr>
                <w:b/>
              </w:rPr>
              <w:t xml:space="preserve">Topic </w:t>
            </w:r>
          </w:p>
        </w:tc>
      </w:tr>
      <w:tr w:rsidR="0089647F" w:rsidRPr="003F5DEF" w14:paraId="48AA3992" w14:textId="77777777" w:rsidTr="00A74729">
        <w:tc>
          <w:tcPr>
            <w:tcW w:w="2718" w:type="dxa"/>
          </w:tcPr>
          <w:p w14:paraId="1A1B4274" w14:textId="77777777" w:rsidR="0089647F" w:rsidRPr="003F5DEF" w:rsidRDefault="0089647F" w:rsidP="00817F88">
            <w:pPr>
              <w:rPr>
                <w:b/>
              </w:rPr>
            </w:pPr>
            <w:r w:rsidRPr="003F5DEF">
              <w:rPr>
                <w:b/>
                <w:i/>
              </w:rPr>
              <w:t>Week 1</w:t>
            </w:r>
          </w:p>
        </w:tc>
        <w:tc>
          <w:tcPr>
            <w:tcW w:w="6138" w:type="dxa"/>
          </w:tcPr>
          <w:p w14:paraId="22D10B46" w14:textId="216BF1BC" w:rsidR="0089647F" w:rsidRPr="003F5DEF" w:rsidRDefault="00F16B15" w:rsidP="00817F88">
            <w:r w:rsidRPr="003F5DEF">
              <w:t xml:space="preserve">Setting Hiring Standards; </w:t>
            </w:r>
            <w:r w:rsidRPr="003F5DEF">
              <w:rPr>
                <w:rFonts w:eastAsia="MS Mincho"/>
              </w:rPr>
              <w:t xml:space="preserve">Lazear, E. P., and Gibbs, M. </w:t>
            </w:r>
            <w:r w:rsidR="00A74729" w:rsidRPr="003F5DEF">
              <w:t xml:space="preserve"> Chapter 1</w:t>
            </w:r>
          </w:p>
        </w:tc>
      </w:tr>
      <w:tr w:rsidR="0089647F" w:rsidRPr="003F5DEF" w14:paraId="3C99D54A" w14:textId="77777777" w:rsidTr="00A74729">
        <w:tc>
          <w:tcPr>
            <w:tcW w:w="2718" w:type="dxa"/>
          </w:tcPr>
          <w:p w14:paraId="456F7845" w14:textId="77777777" w:rsidR="0089647F" w:rsidRPr="003F5DEF" w:rsidRDefault="0089647F" w:rsidP="00817F88">
            <w:r w:rsidRPr="003F5DEF">
              <w:rPr>
                <w:b/>
                <w:i/>
              </w:rPr>
              <w:t>Week 2</w:t>
            </w:r>
          </w:p>
        </w:tc>
        <w:tc>
          <w:tcPr>
            <w:tcW w:w="6138" w:type="dxa"/>
          </w:tcPr>
          <w:p w14:paraId="6065CDED" w14:textId="0FAF0785" w:rsidR="0089647F" w:rsidRPr="003F5DEF" w:rsidRDefault="00F16B15" w:rsidP="00817F88">
            <w:r w:rsidRPr="003F5DEF">
              <w:rPr>
                <w:rFonts w:eastAsia="MS Mincho"/>
              </w:rPr>
              <w:t>Recruitment: Lazear, E. P., and Gibbs, M.</w:t>
            </w:r>
            <w:r w:rsidR="00A74729" w:rsidRPr="003F5DEF">
              <w:t>, Chapter 2</w:t>
            </w:r>
          </w:p>
        </w:tc>
      </w:tr>
      <w:tr w:rsidR="0089647F" w:rsidRPr="003F5DEF" w14:paraId="545B09E7" w14:textId="77777777" w:rsidTr="00A74729">
        <w:tc>
          <w:tcPr>
            <w:tcW w:w="2718" w:type="dxa"/>
          </w:tcPr>
          <w:p w14:paraId="749849B4" w14:textId="77777777" w:rsidR="0089647F" w:rsidRPr="003F5DEF" w:rsidRDefault="0089647F" w:rsidP="00817F88">
            <w:r w:rsidRPr="003F5DEF">
              <w:rPr>
                <w:b/>
                <w:i/>
              </w:rPr>
              <w:t>Week 3</w:t>
            </w:r>
          </w:p>
        </w:tc>
        <w:tc>
          <w:tcPr>
            <w:tcW w:w="6138" w:type="dxa"/>
          </w:tcPr>
          <w:p w14:paraId="115065B8" w14:textId="44246412" w:rsidR="0089647F" w:rsidRPr="003F5DEF" w:rsidRDefault="00F16B15" w:rsidP="00817F88">
            <w:r w:rsidRPr="003F5DEF">
              <w:t xml:space="preserve">Investment in Skills: </w:t>
            </w:r>
            <w:r w:rsidRPr="003F5DEF">
              <w:rPr>
                <w:rFonts w:eastAsia="MS Mincho"/>
              </w:rPr>
              <w:t>Lazear, E. P., and Gibbs, M.</w:t>
            </w:r>
            <w:r w:rsidR="00270498" w:rsidRPr="003F5DEF">
              <w:t xml:space="preserve">, Chapter 3 </w:t>
            </w:r>
          </w:p>
        </w:tc>
      </w:tr>
      <w:tr w:rsidR="0089647F" w:rsidRPr="003F5DEF" w14:paraId="6FAFD27C" w14:textId="77777777" w:rsidTr="00A74729">
        <w:tc>
          <w:tcPr>
            <w:tcW w:w="2718" w:type="dxa"/>
          </w:tcPr>
          <w:p w14:paraId="4397B663" w14:textId="77777777" w:rsidR="0089647F" w:rsidRPr="003F5DEF" w:rsidRDefault="0089647F" w:rsidP="00817F88">
            <w:r w:rsidRPr="003F5DEF">
              <w:rPr>
                <w:b/>
                <w:i/>
              </w:rPr>
              <w:t>Week 4</w:t>
            </w:r>
          </w:p>
        </w:tc>
        <w:tc>
          <w:tcPr>
            <w:tcW w:w="6138" w:type="dxa"/>
          </w:tcPr>
          <w:p w14:paraId="2E3CDB24" w14:textId="6391010E" w:rsidR="0089647F" w:rsidRPr="003F5DEF" w:rsidRDefault="00F16B15" w:rsidP="00817F88">
            <w:r w:rsidRPr="003F5DEF">
              <w:rPr>
                <w:rStyle w:val="Hyperlink"/>
                <w:color w:val="auto"/>
                <w:u w:val="none"/>
              </w:rPr>
              <w:t xml:space="preserve">Managing Turnover: </w:t>
            </w:r>
            <w:r w:rsidRPr="003F5DEF">
              <w:rPr>
                <w:rFonts w:eastAsia="MS Mincho"/>
              </w:rPr>
              <w:t>Lazear, E. P., and Gibbs, M.</w:t>
            </w:r>
            <w:r w:rsidR="00270498" w:rsidRPr="003F5DEF">
              <w:t>, Chapter 4</w:t>
            </w:r>
          </w:p>
        </w:tc>
      </w:tr>
      <w:tr w:rsidR="0089647F" w:rsidRPr="003F5DEF" w14:paraId="482EB3F4" w14:textId="77777777" w:rsidTr="00A74729">
        <w:tc>
          <w:tcPr>
            <w:tcW w:w="2718" w:type="dxa"/>
          </w:tcPr>
          <w:p w14:paraId="472ADA27" w14:textId="77777777" w:rsidR="0089647F" w:rsidRPr="003F5DEF" w:rsidRDefault="0089647F" w:rsidP="00817F88">
            <w:r w:rsidRPr="003F5DEF">
              <w:rPr>
                <w:b/>
                <w:i/>
              </w:rPr>
              <w:t>Week 5</w:t>
            </w:r>
          </w:p>
        </w:tc>
        <w:tc>
          <w:tcPr>
            <w:tcW w:w="6138" w:type="dxa"/>
          </w:tcPr>
          <w:p w14:paraId="635ED56D" w14:textId="7BFD874B" w:rsidR="0089647F" w:rsidRPr="003F5DEF" w:rsidRDefault="00F16B15" w:rsidP="00817F88">
            <w:pPr>
              <w:rPr>
                <w:b/>
                <w:i/>
              </w:rPr>
            </w:pPr>
            <w:r w:rsidRPr="003F5DEF">
              <w:t xml:space="preserve">Decision Making: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00270498" w:rsidRPr="003F5DEF">
              <w:t>,</w:t>
            </w:r>
            <w:proofErr w:type="gramEnd"/>
            <w:r w:rsidR="00270498" w:rsidRPr="003F5DEF">
              <w:t xml:space="preserve"> Chapter 5</w:t>
            </w:r>
          </w:p>
        </w:tc>
      </w:tr>
      <w:tr w:rsidR="0089647F" w:rsidRPr="003F5DEF" w14:paraId="078A0DE7" w14:textId="77777777" w:rsidTr="00A74729">
        <w:tc>
          <w:tcPr>
            <w:tcW w:w="2718" w:type="dxa"/>
          </w:tcPr>
          <w:p w14:paraId="42BA6D0F" w14:textId="77777777" w:rsidR="0089647F" w:rsidRPr="003F5DEF" w:rsidRDefault="0089647F" w:rsidP="00817F88">
            <w:r w:rsidRPr="003F5DEF">
              <w:rPr>
                <w:b/>
                <w:i/>
              </w:rPr>
              <w:t>Week 6</w:t>
            </w:r>
          </w:p>
        </w:tc>
        <w:tc>
          <w:tcPr>
            <w:tcW w:w="6138" w:type="dxa"/>
          </w:tcPr>
          <w:p w14:paraId="1ED1E576" w14:textId="20F21ED7" w:rsidR="0089647F" w:rsidRPr="003F5DEF" w:rsidRDefault="00F16B15" w:rsidP="00817F88">
            <w:pPr>
              <w:widowControl w:val="0"/>
              <w:autoSpaceDE w:val="0"/>
              <w:autoSpaceDN w:val="0"/>
              <w:adjustRightInd w:val="0"/>
            </w:pPr>
            <w:r w:rsidRPr="003F5DEF">
              <w:rPr>
                <w:rStyle w:val="Hyperlink"/>
                <w:color w:val="auto"/>
                <w:u w:val="none"/>
              </w:rPr>
              <w:t xml:space="preserve">Organizational Structures: </w:t>
            </w:r>
            <w:r w:rsidR="002A7D0A" w:rsidRPr="003F5DEF">
              <w:rPr>
                <w:rFonts w:eastAsia="MS Mincho"/>
              </w:rPr>
              <w:t>Lazear, E. P., and Gibbs, M.</w:t>
            </w:r>
            <w:r w:rsidR="00270498" w:rsidRPr="003F5DEF">
              <w:t>, Chapter 6</w:t>
            </w:r>
          </w:p>
          <w:p w14:paraId="04F6B4FD" w14:textId="755CA2DA" w:rsidR="00270498" w:rsidRPr="003F5DEF" w:rsidRDefault="00270498" w:rsidP="00817F88">
            <w:pPr>
              <w:widowControl w:val="0"/>
              <w:autoSpaceDE w:val="0"/>
              <w:autoSpaceDN w:val="0"/>
              <w:adjustRightInd w:val="0"/>
              <w:rPr>
                <w:b/>
                <w:i/>
              </w:rPr>
            </w:pPr>
            <w:r w:rsidRPr="003F5DEF">
              <w:rPr>
                <w:b/>
                <w:i/>
              </w:rPr>
              <w:t>Assignment 1 (handed out; two weeks)</w:t>
            </w:r>
          </w:p>
        </w:tc>
      </w:tr>
      <w:tr w:rsidR="0089647F" w:rsidRPr="003F5DEF" w14:paraId="3C55EC65" w14:textId="77777777" w:rsidTr="00A74729">
        <w:tc>
          <w:tcPr>
            <w:tcW w:w="2718" w:type="dxa"/>
          </w:tcPr>
          <w:p w14:paraId="56440F0A" w14:textId="77777777" w:rsidR="0089647F" w:rsidRPr="003F5DEF" w:rsidRDefault="0089647F" w:rsidP="00817F88">
            <w:r w:rsidRPr="003F5DEF">
              <w:rPr>
                <w:b/>
                <w:i/>
              </w:rPr>
              <w:lastRenderedPageBreak/>
              <w:t>Week 7</w:t>
            </w:r>
          </w:p>
        </w:tc>
        <w:tc>
          <w:tcPr>
            <w:tcW w:w="6138" w:type="dxa"/>
          </w:tcPr>
          <w:p w14:paraId="0C01CE59" w14:textId="2961A717" w:rsidR="0089647F" w:rsidRPr="003F5DEF" w:rsidRDefault="00F16B15" w:rsidP="00817F88">
            <w:r w:rsidRPr="003F5DEF">
              <w:rPr>
                <w:rStyle w:val="Hyperlink"/>
                <w:color w:val="auto"/>
                <w:u w:val="none"/>
              </w:rPr>
              <w:t xml:space="preserve">Job Design: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00270498" w:rsidRPr="003F5DEF">
              <w:t>,</w:t>
            </w:r>
            <w:proofErr w:type="gramEnd"/>
            <w:r w:rsidR="00270498" w:rsidRPr="003F5DEF">
              <w:t xml:space="preserve"> Chapter 8</w:t>
            </w:r>
          </w:p>
        </w:tc>
      </w:tr>
      <w:tr w:rsidR="0089647F" w:rsidRPr="003F5DEF" w14:paraId="1269A5B1" w14:textId="77777777" w:rsidTr="00A74729">
        <w:tc>
          <w:tcPr>
            <w:tcW w:w="2718" w:type="dxa"/>
          </w:tcPr>
          <w:p w14:paraId="475AC425" w14:textId="77777777" w:rsidR="0089647F" w:rsidRPr="003F5DEF" w:rsidRDefault="0089647F" w:rsidP="00817F88">
            <w:r w:rsidRPr="003F5DEF">
              <w:rPr>
                <w:b/>
                <w:i/>
              </w:rPr>
              <w:t>Week 8</w:t>
            </w:r>
          </w:p>
        </w:tc>
        <w:tc>
          <w:tcPr>
            <w:tcW w:w="6138" w:type="dxa"/>
          </w:tcPr>
          <w:p w14:paraId="6F6908C1" w14:textId="0867A00D" w:rsidR="0089647F" w:rsidRPr="003F5DEF" w:rsidRDefault="00F16B15" w:rsidP="00817F88">
            <w:pPr>
              <w:widowControl w:val="0"/>
              <w:autoSpaceDE w:val="0"/>
              <w:autoSpaceDN w:val="0"/>
              <w:adjustRightInd w:val="0"/>
            </w:pPr>
            <w:r w:rsidRPr="003F5DEF">
              <w:t xml:space="preserve">Advanced Job Design: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00270498" w:rsidRPr="003F5DEF">
              <w:t>,</w:t>
            </w:r>
            <w:proofErr w:type="gramEnd"/>
            <w:r w:rsidR="00270498" w:rsidRPr="003F5DEF">
              <w:t xml:space="preserve"> Chapter 9</w:t>
            </w:r>
          </w:p>
          <w:p w14:paraId="7065F4B5" w14:textId="2B81BAC4" w:rsidR="00026041" w:rsidRPr="003F5DEF" w:rsidRDefault="00026041" w:rsidP="00817F88">
            <w:pPr>
              <w:widowControl w:val="0"/>
              <w:autoSpaceDE w:val="0"/>
              <w:autoSpaceDN w:val="0"/>
              <w:adjustRightInd w:val="0"/>
              <w:rPr>
                <w:b/>
                <w:i/>
              </w:rPr>
            </w:pPr>
            <w:r w:rsidRPr="003F5DEF">
              <w:rPr>
                <w:b/>
                <w:i/>
              </w:rPr>
              <w:t>Midterm Exam</w:t>
            </w:r>
          </w:p>
        </w:tc>
      </w:tr>
      <w:tr w:rsidR="0089647F" w:rsidRPr="003F5DEF" w14:paraId="40EBBA84" w14:textId="77777777" w:rsidTr="00A74729">
        <w:tc>
          <w:tcPr>
            <w:tcW w:w="2718" w:type="dxa"/>
          </w:tcPr>
          <w:p w14:paraId="7A062262" w14:textId="77777777" w:rsidR="0089647F" w:rsidRPr="003F5DEF" w:rsidRDefault="0089647F" w:rsidP="00817F88">
            <w:r w:rsidRPr="003F5DEF">
              <w:rPr>
                <w:b/>
                <w:i/>
              </w:rPr>
              <w:t>Week 9</w:t>
            </w:r>
          </w:p>
        </w:tc>
        <w:tc>
          <w:tcPr>
            <w:tcW w:w="6138" w:type="dxa"/>
          </w:tcPr>
          <w:p w14:paraId="5861F473" w14:textId="1442BE53" w:rsidR="0089647F" w:rsidRPr="003F5DEF" w:rsidRDefault="00F16B15" w:rsidP="00817F88">
            <w:r w:rsidRPr="003F5DEF">
              <w:t xml:space="preserve">Performance Evaluation: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00026041" w:rsidRPr="003F5DEF">
              <w:t>,</w:t>
            </w:r>
            <w:proofErr w:type="gramEnd"/>
            <w:r w:rsidR="00026041" w:rsidRPr="003F5DEF">
              <w:t xml:space="preserve"> Chapter 10</w:t>
            </w:r>
          </w:p>
        </w:tc>
      </w:tr>
      <w:tr w:rsidR="0089647F" w:rsidRPr="003F5DEF" w14:paraId="50990E1E" w14:textId="77777777" w:rsidTr="00A74729">
        <w:tc>
          <w:tcPr>
            <w:tcW w:w="2718" w:type="dxa"/>
          </w:tcPr>
          <w:p w14:paraId="2E5F3285" w14:textId="77777777" w:rsidR="0089647F" w:rsidRPr="003F5DEF" w:rsidRDefault="0089647F" w:rsidP="00817F88">
            <w:r w:rsidRPr="003F5DEF">
              <w:rPr>
                <w:b/>
                <w:i/>
              </w:rPr>
              <w:t>Week 10</w:t>
            </w:r>
          </w:p>
        </w:tc>
        <w:tc>
          <w:tcPr>
            <w:tcW w:w="6138" w:type="dxa"/>
          </w:tcPr>
          <w:p w14:paraId="1521E69F" w14:textId="2319A9A4" w:rsidR="00026041" w:rsidRPr="003F5DEF" w:rsidRDefault="00F16B15" w:rsidP="00817F88">
            <w:pPr>
              <w:widowControl w:val="0"/>
              <w:autoSpaceDE w:val="0"/>
              <w:autoSpaceDN w:val="0"/>
              <w:adjustRightInd w:val="0"/>
            </w:pPr>
            <w:r w:rsidRPr="003F5DEF">
              <w:t xml:space="preserve">Rewarding Performance: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Pr="003F5DEF">
              <w:t>,</w:t>
            </w:r>
            <w:proofErr w:type="gramEnd"/>
            <w:r w:rsidRPr="003F5DEF">
              <w:t xml:space="preserve"> Chapter 14</w:t>
            </w:r>
          </w:p>
        </w:tc>
      </w:tr>
      <w:tr w:rsidR="0089647F" w:rsidRPr="003F5DEF" w14:paraId="25B78A88" w14:textId="77777777" w:rsidTr="00A74729">
        <w:tc>
          <w:tcPr>
            <w:tcW w:w="2718" w:type="dxa"/>
          </w:tcPr>
          <w:p w14:paraId="1ABF831F" w14:textId="77777777" w:rsidR="0089647F" w:rsidRPr="003F5DEF" w:rsidRDefault="0089647F" w:rsidP="00817F88">
            <w:r w:rsidRPr="003F5DEF">
              <w:rPr>
                <w:b/>
                <w:i/>
              </w:rPr>
              <w:t>Week 11</w:t>
            </w:r>
          </w:p>
        </w:tc>
        <w:tc>
          <w:tcPr>
            <w:tcW w:w="6138" w:type="dxa"/>
          </w:tcPr>
          <w:p w14:paraId="034B4514" w14:textId="19111B1F" w:rsidR="0089647F" w:rsidRPr="003F5DEF" w:rsidRDefault="00F16B15" w:rsidP="00817F88">
            <w:r w:rsidRPr="003F5DEF">
              <w:t xml:space="preserve">Career-based Incentives: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Pr="003F5DEF">
              <w:rPr>
                <w:rFonts w:eastAsia="MS Mincho"/>
              </w:rPr>
              <w:t>,</w:t>
            </w:r>
            <w:proofErr w:type="gramEnd"/>
            <w:r w:rsidR="00026041" w:rsidRPr="003F5DEF">
              <w:t xml:space="preserve"> Chapter</w:t>
            </w:r>
            <w:r w:rsidR="005178FE" w:rsidRPr="003F5DEF">
              <w:t xml:space="preserve"> 1</w:t>
            </w:r>
            <w:r w:rsidRPr="003F5DEF">
              <w:t>5</w:t>
            </w:r>
          </w:p>
          <w:p w14:paraId="4015F728" w14:textId="79A5B31B" w:rsidR="00F16B15" w:rsidRPr="003F5DEF" w:rsidRDefault="00F16B15" w:rsidP="00817F88">
            <w:r w:rsidRPr="003F5DEF">
              <w:rPr>
                <w:b/>
                <w:i/>
              </w:rPr>
              <w:t>Assignment 2 (handed out; two weeks)</w:t>
            </w:r>
          </w:p>
        </w:tc>
      </w:tr>
      <w:tr w:rsidR="0089647F" w:rsidRPr="003F5DEF" w14:paraId="64055C87" w14:textId="77777777" w:rsidTr="00A74729">
        <w:tc>
          <w:tcPr>
            <w:tcW w:w="2718" w:type="dxa"/>
          </w:tcPr>
          <w:p w14:paraId="0D4A4473" w14:textId="77777777" w:rsidR="0089647F" w:rsidRPr="003F5DEF" w:rsidRDefault="0089647F" w:rsidP="00817F88">
            <w:r w:rsidRPr="003F5DEF">
              <w:rPr>
                <w:b/>
                <w:i/>
              </w:rPr>
              <w:t>Week 12</w:t>
            </w:r>
          </w:p>
        </w:tc>
        <w:tc>
          <w:tcPr>
            <w:tcW w:w="6138" w:type="dxa"/>
          </w:tcPr>
          <w:p w14:paraId="7530965D" w14:textId="79BABA1F" w:rsidR="0089647F" w:rsidRPr="003F5DEF" w:rsidRDefault="00F16B15" w:rsidP="00817F88">
            <w:pPr>
              <w:widowControl w:val="0"/>
              <w:autoSpaceDE w:val="0"/>
              <w:autoSpaceDN w:val="0"/>
              <w:adjustRightInd w:val="0"/>
            </w:pPr>
            <w:r w:rsidRPr="003F5DEF">
              <w:t xml:space="preserve">Options and Executive Pay: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00026041" w:rsidRPr="003F5DEF">
              <w:t>,</w:t>
            </w:r>
            <w:proofErr w:type="gramEnd"/>
            <w:r w:rsidR="00026041" w:rsidRPr="003F5DEF">
              <w:t xml:space="preserve"> Chapter 1</w:t>
            </w:r>
            <w:r w:rsidRPr="003F5DEF">
              <w:t>6</w:t>
            </w:r>
          </w:p>
        </w:tc>
      </w:tr>
      <w:tr w:rsidR="0089647F" w:rsidRPr="003F5DEF" w14:paraId="6C5880AE" w14:textId="77777777" w:rsidTr="00A74729">
        <w:tc>
          <w:tcPr>
            <w:tcW w:w="2718" w:type="dxa"/>
          </w:tcPr>
          <w:p w14:paraId="3CBB92DE" w14:textId="77777777" w:rsidR="0089647F" w:rsidRPr="003F5DEF" w:rsidRDefault="0089647F" w:rsidP="00817F88">
            <w:r w:rsidRPr="003F5DEF">
              <w:rPr>
                <w:b/>
                <w:i/>
              </w:rPr>
              <w:t>Week 13</w:t>
            </w:r>
          </w:p>
        </w:tc>
        <w:tc>
          <w:tcPr>
            <w:tcW w:w="6138" w:type="dxa"/>
          </w:tcPr>
          <w:p w14:paraId="67D4DE14" w14:textId="40560B9F" w:rsidR="0089647F" w:rsidRPr="003F5DEF" w:rsidRDefault="00F16B15" w:rsidP="00817F88">
            <w:r w:rsidRPr="003F5DEF">
              <w:t xml:space="preserve">Benefits: </w:t>
            </w:r>
            <w:r w:rsidR="002A7D0A" w:rsidRPr="003F5DEF">
              <w:rPr>
                <w:rFonts w:eastAsia="MS Mincho"/>
              </w:rPr>
              <w:t>Lazear, E. P., and Gibbs, M.</w:t>
            </w:r>
            <w:r w:rsidR="002A7D0A" w:rsidRPr="003F5DEF">
              <w:t xml:space="preserve">, </w:t>
            </w:r>
            <w:r w:rsidR="00026041" w:rsidRPr="003F5DEF">
              <w:t xml:space="preserve">Chapter </w:t>
            </w:r>
            <w:r w:rsidRPr="003F5DEF">
              <w:t>20</w:t>
            </w:r>
          </w:p>
        </w:tc>
      </w:tr>
      <w:tr w:rsidR="0089647F" w:rsidRPr="003F5DEF" w14:paraId="222F1F90" w14:textId="77777777" w:rsidTr="00A74729">
        <w:tc>
          <w:tcPr>
            <w:tcW w:w="2718" w:type="dxa"/>
          </w:tcPr>
          <w:p w14:paraId="1A4D74C5" w14:textId="77777777" w:rsidR="0089647F" w:rsidRPr="003F5DEF" w:rsidRDefault="0089647F" w:rsidP="00817F88">
            <w:r w:rsidRPr="003F5DEF">
              <w:rPr>
                <w:b/>
                <w:i/>
              </w:rPr>
              <w:t>Week 14</w:t>
            </w:r>
          </w:p>
        </w:tc>
        <w:tc>
          <w:tcPr>
            <w:tcW w:w="6138" w:type="dxa"/>
          </w:tcPr>
          <w:p w14:paraId="2885703A" w14:textId="2670D187" w:rsidR="0089647F" w:rsidRPr="003F5DEF" w:rsidRDefault="00F16B15" w:rsidP="00817F88">
            <w:r w:rsidRPr="003F5DEF">
              <w:t xml:space="preserve">Entrepreneurship and Intrapreneurship: </w:t>
            </w:r>
            <w:r w:rsidR="002A7D0A" w:rsidRPr="003F5DEF">
              <w:rPr>
                <w:rFonts w:eastAsia="MS Mincho"/>
              </w:rPr>
              <w:t xml:space="preserve">Lazear, E. P., and Gibbs, </w:t>
            </w:r>
            <w:proofErr w:type="gramStart"/>
            <w:r w:rsidR="002A7D0A" w:rsidRPr="003F5DEF">
              <w:rPr>
                <w:rFonts w:eastAsia="MS Mincho"/>
              </w:rPr>
              <w:t>M.</w:t>
            </w:r>
            <w:r w:rsidR="002A7D0A" w:rsidRPr="003F5DEF">
              <w:t>,</w:t>
            </w:r>
            <w:r w:rsidRPr="003F5DEF">
              <w:t>,</w:t>
            </w:r>
            <w:proofErr w:type="gramEnd"/>
            <w:r w:rsidRPr="003F5DEF">
              <w:t xml:space="preserve"> </w:t>
            </w:r>
            <w:r w:rsidR="00026041" w:rsidRPr="003F5DEF">
              <w:t xml:space="preserve">Chapter </w:t>
            </w:r>
            <w:r w:rsidRPr="003F5DEF">
              <w:t>7</w:t>
            </w:r>
          </w:p>
        </w:tc>
      </w:tr>
      <w:tr w:rsidR="005178FE" w:rsidRPr="003F5DEF" w14:paraId="2D5C1025" w14:textId="77777777" w:rsidTr="00A74729">
        <w:tc>
          <w:tcPr>
            <w:tcW w:w="2718" w:type="dxa"/>
          </w:tcPr>
          <w:p w14:paraId="04DA9D86" w14:textId="77777777" w:rsidR="005178FE" w:rsidRPr="003F5DEF" w:rsidRDefault="005178FE" w:rsidP="00817F88">
            <w:r w:rsidRPr="003F5DEF">
              <w:rPr>
                <w:b/>
                <w:i/>
              </w:rPr>
              <w:t>Week 15</w:t>
            </w:r>
          </w:p>
        </w:tc>
        <w:tc>
          <w:tcPr>
            <w:tcW w:w="6138" w:type="dxa"/>
          </w:tcPr>
          <w:p w14:paraId="51D9D8B9" w14:textId="65CF0746" w:rsidR="005178FE" w:rsidRPr="003F5DEF" w:rsidRDefault="00026041" w:rsidP="00817F88">
            <w:pPr>
              <w:rPr>
                <w:b/>
                <w:i/>
              </w:rPr>
            </w:pPr>
            <w:r w:rsidRPr="003F5DEF">
              <w:rPr>
                <w:b/>
                <w:i/>
              </w:rPr>
              <w:t>Presentation of Assignment 2</w:t>
            </w:r>
          </w:p>
        </w:tc>
      </w:tr>
    </w:tbl>
    <w:p w14:paraId="3FE4143D" w14:textId="77777777" w:rsidR="0089647F" w:rsidRPr="003F5DEF" w:rsidRDefault="0089647F" w:rsidP="00817F88">
      <w:pPr>
        <w:rPr>
          <w:b/>
        </w:rPr>
      </w:pPr>
    </w:p>
    <w:p w14:paraId="65C91B8C" w14:textId="77777777" w:rsidR="00616262" w:rsidRPr="003F5DEF" w:rsidRDefault="00616262" w:rsidP="00817F88">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3F5DEF" w14:paraId="2CC420A0" w14:textId="77777777" w:rsidTr="00A74729">
        <w:tc>
          <w:tcPr>
            <w:tcW w:w="8856" w:type="dxa"/>
            <w:shd w:val="clear" w:color="auto" w:fill="B8CCE4"/>
          </w:tcPr>
          <w:p w14:paraId="2BE935DD" w14:textId="77777777" w:rsidR="0089647F" w:rsidRPr="003F5DEF" w:rsidRDefault="0089647F" w:rsidP="00817F88">
            <w:pPr>
              <w:jc w:val="center"/>
              <w:rPr>
                <w:b/>
              </w:rPr>
            </w:pPr>
            <w:r w:rsidRPr="003F5DEF">
              <w:rPr>
                <w:b/>
              </w:rPr>
              <w:t>Academic policies and code of conduct:</w:t>
            </w:r>
          </w:p>
        </w:tc>
      </w:tr>
      <w:tr w:rsidR="0089647F" w:rsidRPr="003F5DEF" w14:paraId="3D00C4C1" w14:textId="77777777" w:rsidTr="00A74729">
        <w:trPr>
          <w:trHeight w:val="1088"/>
        </w:trPr>
        <w:tc>
          <w:tcPr>
            <w:tcW w:w="8856" w:type="dxa"/>
          </w:tcPr>
          <w:p w14:paraId="496E8FB2" w14:textId="7A88EECC" w:rsidR="007C560B" w:rsidRPr="003F5DEF" w:rsidRDefault="007C560B" w:rsidP="00817F88">
            <w:pPr>
              <w:rPr>
                <w:b/>
              </w:rPr>
            </w:pPr>
            <w:r w:rsidRPr="003F5DEF">
              <w:rPr>
                <w:b/>
              </w:rPr>
              <w:t>Quiz and exam related issues</w:t>
            </w:r>
          </w:p>
          <w:p w14:paraId="318B7DA0" w14:textId="77777777" w:rsidR="007C560B" w:rsidRPr="003F5DEF" w:rsidRDefault="007C560B" w:rsidP="00817F88">
            <w:r w:rsidRPr="003F5DEF">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3F5DEF" w:rsidRDefault="007C560B" w:rsidP="00817F88">
            <w:r w:rsidRPr="003F5DEF">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3F5DEF" w:rsidRDefault="007C560B" w:rsidP="00817F88">
            <w:pPr>
              <w:rPr>
                <w:b/>
              </w:rPr>
            </w:pPr>
            <w:r w:rsidRPr="003F5DEF">
              <w:rPr>
                <w:b/>
              </w:rPr>
              <w:t>Cheating</w:t>
            </w:r>
          </w:p>
          <w:p w14:paraId="29313241" w14:textId="78702228" w:rsidR="007C560B" w:rsidRPr="003F5DEF" w:rsidRDefault="007C560B" w:rsidP="00817F88">
            <w:pPr>
              <w:jc w:val="both"/>
            </w:pPr>
            <w:r w:rsidRPr="003F5DEF">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3F5DEF" w:rsidRDefault="007C560B" w:rsidP="00817F88">
            <w:pPr>
              <w:rPr>
                <w:b/>
              </w:rPr>
            </w:pPr>
            <w:r w:rsidRPr="003F5DEF">
              <w:rPr>
                <w:b/>
              </w:rPr>
              <w:t>Other</w:t>
            </w:r>
          </w:p>
          <w:p w14:paraId="3E3EDD22" w14:textId="77777777" w:rsidR="007C560B" w:rsidRPr="003F5DEF" w:rsidRDefault="007C560B" w:rsidP="00817F88">
            <w:pPr>
              <w:pStyle w:val="ListParagraph"/>
              <w:numPr>
                <w:ilvl w:val="0"/>
                <w:numId w:val="6"/>
              </w:numPr>
            </w:pPr>
            <w:r w:rsidRPr="003F5DEF">
              <w:t xml:space="preserve">Please read the chapters before you come to class. </w:t>
            </w:r>
          </w:p>
          <w:p w14:paraId="0CB644DC" w14:textId="77777777" w:rsidR="007C560B" w:rsidRPr="003F5DEF" w:rsidRDefault="007C560B" w:rsidP="00817F88">
            <w:pPr>
              <w:pStyle w:val="ListParagraph"/>
              <w:numPr>
                <w:ilvl w:val="0"/>
                <w:numId w:val="6"/>
              </w:numPr>
            </w:pPr>
            <w:r w:rsidRPr="003F5DEF">
              <w:t>Come to class on time</w:t>
            </w:r>
          </w:p>
          <w:p w14:paraId="477C67CA" w14:textId="77777777" w:rsidR="007C560B" w:rsidRPr="003F5DEF" w:rsidRDefault="007C560B" w:rsidP="00817F88">
            <w:pPr>
              <w:pStyle w:val="ListParagraph"/>
              <w:numPr>
                <w:ilvl w:val="0"/>
                <w:numId w:val="6"/>
              </w:numPr>
            </w:pPr>
            <w:r w:rsidRPr="003F5DEF">
              <w:t>Respect your classmates and don’t forget, they are here to learn.</w:t>
            </w:r>
          </w:p>
          <w:p w14:paraId="0AA68F3F" w14:textId="77777777" w:rsidR="007C560B" w:rsidRPr="003F5DEF" w:rsidRDefault="007C560B" w:rsidP="00817F88">
            <w:pPr>
              <w:pStyle w:val="ListParagraph"/>
              <w:numPr>
                <w:ilvl w:val="0"/>
                <w:numId w:val="6"/>
              </w:numPr>
            </w:pPr>
            <w:r w:rsidRPr="003F5DEF">
              <w:t>If you do not understand what I am saying, stop me and ask questions.</w:t>
            </w:r>
          </w:p>
          <w:p w14:paraId="32D215B7" w14:textId="77777777" w:rsidR="007C560B" w:rsidRPr="003F5DEF" w:rsidRDefault="007C560B" w:rsidP="00817F88">
            <w:pPr>
              <w:pStyle w:val="ListParagraph"/>
              <w:numPr>
                <w:ilvl w:val="0"/>
                <w:numId w:val="6"/>
              </w:numPr>
            </w:pPr>
            <w:r w:rsidRPr="003F5DEF">
              <w:t xml:space="preserve">Do not talk to your </w:t>
            </w:r>
            <w:proofErr w:type="spellStart"/>
            <w:r w:rsidRPr="003F5DEF">
              <w:t>neighbors</w:t>
            </w:r>
            <w:proofErr w:type="spellEnd"/>
            <w:r w:rsidRPr="003F5DEF">
              <w:t xml:space="preserve"> during class. It distracts the students around you, and it distracts me. </w:t>
            </w:r>
          </w:p>
          <w:p w14:paraId="4097DF4D" w14:textId="77777777" w:rsidR="007C560B" w:rsidRPr="003F5DEF" w:rsidRDefault="007C560B" w:rsidP="00817F88">
            <w:pPr>
              <w:pStyle w:val="ListParagraph"/>
              <w:numPr>
                <w:ilvl w:val="0"/>
                <w:numId w:val="6"/>
              </w:numPr>
            </w:pPr>
            <w:r w:rsidRPr="003F5DEF">
              <w:t>Try to participate during lectures and tutorials.</w:t>
            </w:r>
          </w:p>
          <w:p w14:paraId="1D5E744D" w14:textId="77777777" w:rsidR="007C560B" w:rsidRPr="003F5DEF" w:rsidRDefault="007C560B" w:rsidP="00817F88">
            <w:pPr>
              <w:pStyle w:val="ListParagraph"/>
              <w:numPr>
                <w:ilvl w:val="0"/>
                <w:numId w:val="6"/>
              </w:numPr>
            </w:pPr>
            <w:r w:rsidRPr="003F5DEF">
              <w:t>Please do not send e-mails trying to negotiate the final grade as this will only have a negative influence on my decision.</w:t>
            </w:r>
          </w:p>
          <w:p w14:paraId="4BA073F5" w14:textId="77777777" w:rsidR="007C560B" w:rsidRPr="003F5DEF" w:rsidRDefault="007C560B" w:rsidP="00817F88">
            <w:pPr>
              <w:jc w:val="both"/>
            </w:pPr>
            <w:r w:rsidRPr="003F5DEF">
              <w:rPr>
                <w:b/>
              </w:rPr>
              <w:t>I reserve the right to ask you to leave class for the day if you violate any of the above policies.</w:t>
            </w:r>
          </w:p>
          <w:p w14:paraId="764AFF0E" w14:textId="77777777" w:rsidR="00D842DD" w:rsidRPr="003F5DEF" w:rsidRDefault="00D842DD" w:rsidP="00817F88">
            <w:pPr>
              <w:tabs>
                <w:tab w:val="left" w:pos="600"/>
              </w:tabs>
              <w:ind w:left="600" w:hanging="600"/>
              <w:rPr>
                <w:b/>
              </w:rPr>
            </w:pPr>
            <w:r w:rsidRPr="003F5DEF">
              <w:rPr>
                <w:b/>
              </w:rPr>
              <w:t>Additional information</w:t>
            </w:r>
          </w:p>
          <w:p w14:paraId="7B245C95" w14:textId="1195E43E" w:rsidR="0089647F" w:rsidRPr="003F5DEF" w:rsidRDefault="00D842DD" w:rsidP="00817F88">
            <w:pPr>
              <w:tabs>
                <w:tab w:val="left" w:pos="1275"/>
              </w:tabs>
              <w:rPr>
                <w:b/>
                <w:i/>
              </w:rPr>
            </w:pPr>
            <w:r w:rsidRPr="003F5DEF">
              <w:lastRenderedPageBreak/>
              <w:t xml:space="preserve">Students are expected to attend all scheduled lessons. Regardless of the reason, students may have </w:t>
            </w:r>
            <w:r w:rsidRPr="003F5DEF">
              <w:rPr>
                <w:u w:val="single"/>
              </w:rPr>
              <w:t>no more than 3 un-excused absences before their grade is affected</w:t>
            </w:r>
            <w:r w:rsidRPr="003F5DEF">
              <w:t xml:space="preserve">.  Each un-excused absence after 3 will lower the student’s course grade by one grade.  This is mandatory policy--there will be </w:t>
            </w:r>
            <w:r w:rsidRPr="003F5DEF">
              <w:rPr>
                <w:b/>
              </w:rPr>
              <w:t>no exceptions</w:t>
            </w:r>
            <w:r w:rsidRPr="003F5DEF">
              <w:t xml:space="preserve"> to this rule and attendance will be taken on a lecture basis. Additionally, students are expected to come to class prepared to participate in the lesson and take notes. Students should bring to every </w:t>
            </w:r>
            <w:r w:rsidRPr="003F5DEF">
              <w:rPr>
                <w:i/>
              </w:rPr>
              <w:t>tutorial</w:t>
            </w:r>
            <w:r w:rsidRPr="003F5DEF">
              <w:t xml:space="preserve"> a notebook and a pen or pencil. Smart (mobile) phones and similar electronic devices should be switched off and put away at the beginning of class. Students whose phones or similar devices disrupt class due to excessive ringing or similar </w:t>
            </w:r>
            <w:proofErr w:type="spellStart"/>
            <w:r w:rsidRPr="003F5DEF">
              <w:t>behavior</w:t>
            </w:r>
            <w:proofErr w:type="spellEnd"/>
            <w:r w:rsidRPr="003F5DEF">
              <w:t xml:space="preserve"> will be asked to leave the class and will be marked as absent for the day (will receive no credit for the lesson). </w:t>
            </w:r>
            <w:r w:rsidR="003F5DEF" w:rsidRPr="003F5DEF">
              <w:t>Finally,</w:t>
            </w:r>
            <w:r w:rsidRPr="003F5DEF">
              <w:t xml:space="preserve">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3F5DEF" w:rsidRDefault="0089647F" w:rsidP="00817F88">
      <w:pPr>
        <w:rPr>
          <w:b/>
        </w:rPr>
      </w:pPr>
    </w:p>
    <w:p w14:paraId="5C1577E7" w14:textId="77777777" w:rsidR="0089647F" w:rsidRPr="003F5DEF" w:rsidRDefault="0089647F" w:rsidP="00817F88">
      <w:pPr>
        <w:rPr>
          <w:b/>
        </w:rPr>
      </w:pPr>
    </w:p>
    <w:bookmarkEnd w:id="0"/>
    <w:p w14:paraId="3EA5B501" w14:textId="77777777" w:rsidR="0089647F" w:rsidRPr="003F5DEF" w:rsidRDefault="0089647F" w:rsidP="00817F88"/>
    <w:sectPr w:rsidR="0089647F" w:rsidRPr="003F5DEF" w:rsidSect="00A74729">
      <w:footerReference w:type="even" r:id="rId7"/>
      <w:footerReference w:type="default" r:id="rId8"/>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D6FB" w14:textId="77777777" w:rsidR="007453ED" w:rsidRDefault="007453ED">
      <w:r>
        <w:separator/>
      </w:r>
    </w:p>
  </w:endnote>
  <w:endnote w:type="continuationSeparator" w:id="0">
    <w:p w14:paraId="7370E63A" w14:textId="77777777" w:rsidR="007453ED" w:rsidRDefault="0074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E9" w14:textId="77777777" w:rsidR="00F16B15" w:rsidRDefault="00F16B15"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8AF8C" w14:textId="77777777" w:rsidR="00F16B15" w:rsidRDefault="00F16B15"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B90" w14:textId="77777777" w:rsidR="00F16B15" w:rsidRDefault="00F16B15"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D0A">
      <w:rPr>
        <w:rStyle w:val="PageNumber"/>
        <w:noProof/>
      </w:rPr>
      <w:t>1</w:t>
    </w:r>
    <w:r>
      <w:rPr>
        <w:rStyle w:val="PageNumber"/>
      </w:rPr>
      <w:fldChar w:fldCharType="end"/>
    </w:r>
  </w:p>
  <w:p w14:paraId="400A5BEB" w14:textId="77777777" w:rsidR="00F16B15" w:rsidRDefault="00F16B15"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D8DE" w14:textId="77777777" w:rsidR="007453ED" w:rsidRDefault="007453ED">
      <w:r>
        <w:separator/>
      </w:r>
    </w:p>
  </w:footnote>
  <w:footnote w:type="continuationSeparator" w:id="0">
    <w:p w14:paraId="686423DB" w14:textId="77777777" w:rsidR="007453ED" w:rsidRDefault="0074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7AD"/>
    <w:multiLevelType w:val="hybridMultilevel"/>
    <w:tmpl w:val="4DA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754"/>
    <w:multiLevelType w:val="hybridMultilevel"/>
    <w:tmpl w:val="15D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F2979"/>
    <w:multiLevelType w:val="hybridMultilevel"/>
    <w:tmpl w:val="69A2F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B6903"/>
    <w:multiLevelType w:val="hybridMultilevel"/>
    <w:tmpl w:val="ECC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B5F89"/>
    <w:multiLevelType w:val="hybridMultilevel"/>
    <w:tmpl w:val="8676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52ED1"/>
    <w:multiLevelType w:val="hybridMultilevel"/>
    <w:tmpl w:val="65F4B4B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9" w15:restartNumberingAfterBreak="0">
    <w:nsid w:val="422548BA"/>
    <w:multiLevelType w:val="hybridMultilevel"/>
    <w:tmpl w:val="AF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C0CFE"/>
    <w:multiLevelType w:val="hybridMultilevel"/>
    <w:tmpl w:val="570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74C7"/>
    <w:multiLevelType w:val="hybridMultilevel"/>
    <w:tmpl w:val="71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2"/>
  </w:num>
  <w:num w:numId="5">
    <w:abstractNumId w:val="7"/>
  </w:num>
  <w:num w:numId="6">
    <w:abstractNumId w:val="12"/>
  </w:num>
  <w:num w:numId="7">
    <w:abstractNumId w:val="3"/>
  </w:num>
  <w:num w:numId="8">
    <w:abstractNumId w:val="4"/>
  </w:num>
  <w:num w:numId="9">
    <w:abstractNumId w:val="9"/>
  </w:num>
  <w:num w:numId="10">
    <w:abstractNumId w:val="8"/>
  </w:num>
  <w:num w:numId="11">
    <w:abstractNumId w:val="1"/>
  </w:num>
  <w:num w:numId="12">
    <w:abstractNumId w:val="10"/>
  </w:num>
  <w:num w:numId="13">
    <w:abstractNumId w:val="13"/>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7F"/>
    <w:rsid w:val="00026041"/>
    <w:rsid w:val="00233F5A"/>
    <w:rsid w:val="00270498"/>
    <w:rsid w:val="002A7D0A"/>
    <w:rsid w:val="003F5DEF"/>
    <w:rsid w:val="005178FE"/>
    <w:rsid w:val="00552FE3"/>
    <w:rsid w:val="00616262"/>
    <w:rsid w:val="007453ED"/>
    <w:rsid w:val="007C560B"/>
    <w:rsid w:val="00817F88"/>
    <w:rsid w:val="0089647F"/>
    <w:rsid w:val="008D5A21"/>
    <w:rsid w:val="00A618EF"/>
    <w:rsid w:val="00A74729"/>
    <w:rsid w:val="00D4499A"/>
    <w:rsid w:val="00D842DD"/>
    <w:rsid w:val="00F1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10</cp:revision>
  <dcterms:created xsi:type="dcterms:W3CDTF">2019-02-19T13:29:00Z</dcterms:created>
  <dcterms:modified xsi:type="dcterms:W3CDTF">2020-01-08T21:08:00Z</dcterms:modified>
</cp:coreProperties>
</file>